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31FD" w14:textId="77777777" w:rsidR="00D62C14" w:rsidRPr="00611BC0" w:rsidRDefault="00D62C14" w:rsidP="00D62C14">
      <w:pPr>
        <w:jc w:val="right"/>
        <w:rPr>
          <w:b/>
          <w:szCs w:val="24"/>
        </w:rPr>
      </w:pPr>
    </w:p>
    <w:p w14:paraId="13D2793A" w14:textId="14CABBB6" w:rsidR="00D62C14" w:rsidRPr="00611BC0" w:rsidRDefault="00DA647D" w:rsidP="00D62C14">
      <w:pPr>
        <w:jc w:val="center"/>
        <w:rPr>
          <w:b/>
          <w:bCs/>
          <w:caps/>
          <w:szCs w:val="24"/>
        </w:rPr>
      </w:pPr>
      <w:r>
        <w:rPr>
          <w:b/>
          <w:bCs/>
          <w:caps/>
          <w:szCs w:val="24"/>
        </w:rPr>
        <w:t xml:space="preserve">BIOTECHOLOGIJOS </w:t>
      </w:r>
      <w:r w:rsidR="00B432D5">
        <w:rPr>
          <w:b/>
          <w:bCs/>
          <w:caps/>
          <w:szCs w:val="24"/>
        </w:rPr>
        <w:t xml:space="preserve">STUDIJŲ </w:t>
      </w:r>
      <w:r>
        <w:rPr>
          <w:b/>
          <w:bCs/>
          <w:caps/>
          <w:szCs w:val="24"/>
        </w:rPr>
        <w:t xml:space="preserve">KRYPTIES </w:t>
      </w:r>
      <w:r w:rsidR="00D62C14" w:rsidRPr="00611BC0">
        <w:rPr>
          <w:b/>
          <w:bCs/>
          <w:caps/>
          <w:szCs w:val="24"/>
        </w:rPr>
        <w:t>Išorinio vertinimo rekomendacijų įgyvendinimo</w:t>
      </w:r>
    </w:p>
    <w:p w14:paraId="0C815009" w14:textId="77777777" w:rsidR="00D62C14" w:rsidRPr="00611BC0" w:rsidRDefault="00D62C14" w:rsidP="00D62C14">
      <w:pPr>
        <w:jc w:val="center"/>
        <w:rPr>
          <w:b/>
          <w:bCs/>
          <w:caps/>
          <w:szCs w:val="24"/>
        </w:rPr>
      </w:pPr>
      <w:r w:rsidRPr="00611BC0">
        <w:rPr>
          <w:b/>
          <w:bCs/>
          <w:caps/>
          <w:szCs w:val="24"/>
        </w:rPr>
        <w:t>pažangos ataskaita</w:t>
      </w:r>
    </w:p>
    <w:p w14:paraId="57E811F4" w14:textId="77777777" w:rsidR="00D62C14" w:rsidRPr="00611BC0" w:rsidRDefault="00D62C14" w:rsidP="00D62C14">
      <w:pPr>
        <w:jc w:val="center"/>
        <w:rPr>
          <w:b/>
          <w:bCs/>
          <w:szCs w:val="24"/>
        </w:rPr>
      </w:pP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3514"/>
        <w:gridCol w:w="3167"/>
        <w:gridCol w:w="1936"/>
        <w:gridCol w:w="2449"/>
      </w:tblGrid>
      <w:tr w:rsidR="00FA69C6" w:rsidRPr="00611BC0" w14:paraId="43B440EF" w14:textId="77777777" w:rsidTr="00D44BDA">
        <w:trPr>
          <w:jc w:val="center"/>
        </w:trPr>
        <w:tc>
          <w:tcPr>
            <w:tcW w:w="901" w:type="pct"/>
            <w:shd w:val="clear" w:color="auto" w:fill="F2F2F2" w:themeFill="background1" w:themeFillShade="F2"/>
            <w:vAlign w:val="center"/>
          </w:tcPr>
          <w:p w14:paraId="7D05AFAE" w14:textId="77777777" w:rsidR="00D62C14" w:rsidRPr="00611BC0" w:rsidRDefault="00D62C14" w:rsidP="00353A2B">
            <w:pPr>
              <w:jc w:val="center"/>
              <w:rPr>
                <w:b/>
                <w:bCs/>
                <w:sz w:val="22"/>
                <w:szCs w:val="22"/>
              </w:rPr>
            </w:pPr>
            <w:r w:rsidRPr="00611BC0">
              <w:rPr>
                <w:b/>
                <w:bCs/>
                <w:sz w:val="22"/>
                <w:szCs w:val="22"/>
              </w:rPr>
              <w:t xml:space="preserve">Vertinamoji sritis </w:t>
            </w:r>
          </w:p>
        </w:tc>
        <w:tc>
          <w:tcPr>
            <w:tcW w:w="1301" w:type="pct"/>
            <w:shd w:val="clear" w:color="auto" w:fill="F2F2F2" w:themeFill="background1" w:themeFillShade="F2"/>
            <w:vAlign w:val="center"/>
          </w:tcPr>
          <w:p w14:paraId="5E319195" w14:textId="77777777" w:rsidR="00D62C14" w:rsidRPr="00611BC0" w:rsidRDefault="00D62C14" w:rsidP="00353A2B">
            <w:pPr>
              <w:jc w:val="center"/>
              <w:rPr>
                <w:b/>
                <w:bCs/>
                <w:sz w:val="22"/>
                <w:szCs w:val="22"/>
              </w:rPr>
            </w:pPr>
            <w:r w:rsidRPr="00611BC0">
              <w:rPr>
                <w:b/>
                <w:bCs/>
                <w:sz w:val="22"/>
                <w:szCs w:val="22"/>
              </w:rPr>
              <w:t>Ekspertų rekomendacijos, pateiktos paskutinio vertinimo metu</w:t>
            </w:r>
          </w:p>
        </w:tc>
        <w:tc>
          <w:tcPr>
            <w:tcW w:w="1173" w:type="pct"/>
            <w:shd w:val="clear" w:color="auto" w:fill="F2F2F2" w:themeFill="background1" w:themeFillShade="F2"/>
            <w:vAlign w:val="center"/>
          </w:tcPr>
          <w:p w14:paraId="2EAAE635" w14:textId="2418ECC7" w:rsidR="00D62C14" w:rsidRPr="00611BC0" w:rsidRDefault="00B17AFD" w:rsidP="00353A2B">
            <w:pPr>
              <w:jc w:val="center"/>
              <w:rPr>
                <w:b/>
                <w:bCs/>
                <w:sz w:val="22"/>
                <w:szCs w:val="22"/>
              </w:rPr>
            </w:pPr>
            <w:r w:rsidRPr="00611BC0">
              <w:rPr>
                <w:b/>
                <w:bCs/>
                <w:sz w:val="22"/>
                <w:szCs w:val="22"/>
              </w:rPr>
              <w:t>Atliktos veiklos įgyvendinant rekomendacijas</w:t>
            </w:r>
            <w:r w:rsidR="00D62C14" w:rsidRPr="00611BC0">
              <w:rPr>
                <w:b/>
                <w:bCs/>
                <w:sz w:val="22"/>
                <w:szCs w:val="22"/>
              </w:rPr>
              <w:t xml:space="preserve"> </w:t>
            </w:r>
          </w:p>
        </w:tc>
        <w:tc>
          <w:tcPr>
            <w:tcW w:w="717" w:type="pct"/>
            <w:shd w:val="clear" w:color="auto" w:fill="F2F2F2" w:themeFill="background1" w:themeFillShade="F2"/>
            <w:vAlign w:val="center"/>
          </w:tcPr>
          <w:p w14:paraId="6D4E5A5D" w14:textId="5C77AF60" w:rsidR="00D62C14" w:rsidRPr="00611BC0" w:rsidRDefault="00B17AFD" w:rsidP="00B17AFD">
            <w:pPr>
              <w:rPr>
                <w:b/>
                <w:bCs/>
                <w:sz w:val="22"/>
                <w:szCs w:val="22"/>
              </w:rPr>
            </w:pPr>
            <w:r w:rsidRPr="00611BC0">
              <w:rPr>
                <w:b/>
                <w:bCs/>
                <w:sz w:val="22"/>
                <w:szCs w:val="22"/>
              </w:rPr>
              <w:t>P</w:t>
            </w:r>
            <w:r w:rsidR="00D62C14" w:rsidRPr="00611BC0">
              <w:rPr>
                <w:b/>
                <w:bCs/>
                <w:sz w:val="22"/>
                <w:szCs w:val="22"/>
              </w:rPr>
              <w:t>lanuojam</w:t>
            </w:r>
            <w:r w:rsidRPr="00611BC0">
              <w:rPr>
                <w:b/>
                <w:bCs/>
                <w:sz w:val="22"/>
                <w:szCs w:val="22"/>
              </w:rPr>
              <w:t xml:space="preserve">os veiklos </w:t>
            </w:r>
            <w:r w:rsidR="00D62C14" w:rsidRPr="00611BC0">
              <w:rPr>
                <w:b/>
                <w:bCs/>
                <w:sz w:val="22"/>
                <w:szCs w:val="22"/>
              </w:rPr>
              <w:t>ir terminai</w:t>
            </w:r>
          </w:p>
        </w:tc>
        <w:tc>
          <w:tcPr>
            <w:tcW w:w="907" w:type="pct"/>
            <w:shd w:val="clear" w:color="auto" w:fill="F2F2F2" w:themeFill="background1" w:themeFillShade="F2"/>
            <w:vAlign w:val="center"/>
          </w:tcPr>
          <w:p w14:paraId="71ED9D30" w14:textId="77777777" w:rsidR="00D62C14" w:rsidRPr="00611BC0" w:rsidRDefault="00D62C14" w:rsidP="00353A2B">
            <w:pPr>
              <w:jc w:val="center"/>
              <w:rPr>
                <w:b/>
                <w:bCs/>
                <w:sz w:val="22"/>
                <w:szCs w:val="22"/>
              </w:rPr>
            </w:pPr>
            <w:r w:rsidRPr="00611BC0">
              <w:rPr>
                <w:b/>
                <w:bCs/>
                <w:sz w:val="22"/>
                <w:szCs w:val="22"/>
              </w:rPr>
              <w:t>Pastabos</w:t>
            </w:r>
          </w:p>
        </w:tc>
      </w:tr>
      <w:tr w:rsidR="00FA69C6" w:rsidRPr="00BD5FB4" w14:paraId="1119B24B" w14:textId="77777777" w:rsidTr="00D44BDA">
        <w:trPr>
          <w:jc w:val="center"/>
        </w:trPr>
        <w:tc>
          <w:tcPr>
            <w:tcW w:w="901" w:type="pct"/>
            <w:vAlign w:val="center"/>
          </w:tcPr>
          <w:p w14:paraId="752BEC75" w14:textId="099AA878" w:rsidR="006724EC" w:rsidRPr="00BD5FB4" w:rsidRDefault="006724EC" w:rsidP="00E83E49">
            <w:pPr>
              <w:jc w:val="both"/>
              <w:rPr>
                <w:sz w:val="22"/>
                <w:szCs w:val="22"/>
              </w:rPr>
            </w:pPr>
            <w:r w:rsidRPr="00BD5FB4">
              <w:rPr>
                <w:sz w:val="22"/>
                <w:szCs w:val="22"/>
              </w:rPr>
              <w:t>1. Studijų tikslai, rezultatai ir turinys</w:t>
            </w:r>
          </w:p>
        </w:tc>
        <w:tc>
          <w:tcPr>
            <w:tcW w:w="1301" w:type="pct"/>
          </w:tcPr>
          <w:p w14:paraId="311B4A54" w14:textId="54CCFDA5" w:rsidR="006724EC" w:rsidRPr="00BD5FB4" w:rsidRDefault="00265F65" w:rsidP="00E83E49">
            <w:pPr>
              <w:jc w:val="both"/>
              <w:rPr>
                <w:sz w:val="22"/>
                <w:szCs w:val="22"/>
              </w:rPr>
            </w:pPr>
            <w:bookmarkStart w:id="0" w:name="_Hlk201751028"/>
            <w:r w:rsidRPr="00BD5FB4">
              <w:rPr>
                <w:sz w:val="22"/>
                <w:szCs w:val="22"/>
              </w:rPr>
              <w:t>Persvarstyti studijų modulių turinį taip, kad jis atitiktų teisės aktų reikalavimus suteikti studentams technologinio projektavimo įgūdžių, taip pat padidinti galimybes individualizuoti studijų programą (ypač antrojoje studijų pakopoje) pagal studentų asmeninius profesinius tikslus.</w:t>
            </w:r>
            <w:bookmarkEnd w:id="0"/>
          </w:p>
        </w:tc>
        <w:tc>
          <w:tcPr>
            <w:tcW w:w="1173" w:type="pct"/>
            <w:vAlign w:val="center"/>
          </w:tcPr>
          <w:p w14:paraId="6F0F6B67" w14:textId="054BF497" w:rsidR="0068578F" w:rsidRPr="00BD5FB4" w:rsidRDefault="00B468BD" w:rsidP="00E83E49">
            <w:pPr>
              <w:jc w:val="both"/>
              <w:rPr>
                <w:sz w:val="22"/>
                <w:szCs w:val="22"/>
              </w:rPr>
            </w:pPr>
            <w:r w:rsidRPr="00BD5FB4">
              <w:rPr>
                <w:sz w:val="22"/>
                <w:szCs w:val="22"/>
              </w:rPr>
              <w:t>Bakalauro studijose į</w:t>
            </w:r>
            <w:r w:rsidR="00FB5A14" w:rsidRPr="00BD5FB4">
              <w:rPr>
                <w:sz w:val="22"/>
                <w:szCs w:val="22"/>
              </w:rPr>
              <w:t>vesti pasirenkamieji moduliai</w:t>
            </w:r>
            <w:r w:rsidR="0068578F" w:rsidRPr="00BD5FB4">
              <w:rPr>
                <w:sz w:val="22"/>
                <w:szCs w:val="22"/>
              </w:rPr>
              <w:t>, susij</w:t>
            </w:r>
            <w:r w:rsidR="00FB5A14" w:rsidRPr="00BD5FB4">
              <w:rPr>
                <w:sz w:val="22"/>
                <w:szCs w:val="22"/>
              </w:rPr>
              <w:t>ę</w:t>
            </w:r>
            <w:r w:rsidR="0068578F" w:rsidRPr="00BD5FB4">
              <w:rPr>
                <w:sz w:val="22"/>
                <w:szCs w:val="22"/>
              </w:rPr>
              <w:t xml:space="preserve"> su erdviniu</w:t>
            </w:r>
            <w:r w:rsidR="009A6D45" w:rsidRPr="00BD5FB4">
              <w:rPr>
                <w:sz w:val="22"/>
                <w:szCs w:val="22"/>
              </w:rPr>
              <w:t xml:space="preserve"> </w:t>
            </w:r>
            <w:r w:rsidR="0068578F" w:rsidRPr="00BD5FB4">
              <w:rPr>
                <w:sz w:val="22"/>
                <w:szCs w:val="22"/>
              </w:rPr>
              <w:t>modeliavimu/vizualizavimu (inžinierine grafika).</w:t>
            </w:r>
          </w:p>
          <w:p w14:paraId="5E0E2CDD" w14:textId="4795E243" w:rsidR="004A7C44" w:rsidRPr="00BD5FB4" w:rsidRDefault="004A7C44" w:rsidP="00E83E49">
            <w:pPr>
              <w:jc w:val="both"/>
              <w:rPr>
                <w:sz w:val="22"/>
                <w:szCs w:val="22"/>
              </w:rPr>
            </w:pPr>
            <w:r w:rsidRPr="00BD5FB4">
              <w:rPr>
                <w:sz w:val="22"/>
                <w:szCs w:val="22"/>
              </w:rPr>
              <w:t xml:space="preserve">Įvestas </w:t>
            </w:r>
            <w:r w:rsidR="002F2D0C" w:rsidRPr="00BD5FB4">
              <w:rPr>
                <w:sz w:val="22"/>
                <w:szCs w:val="22"/>
              </w:rPr>
              <w:t>pasirenkamasis dalykas</w:t>
            </w:r>
            <w:r w:rsidR="005E34F9" w:rsidRPr="00BD5FB4">
              <w:rPr>
                <w:sz w:val="22"/>
                <w:szCs w:val="22"/>
              </w:rPr>
              <w:t xml:space="preserve"> „Skaitmeninės gamybos proceso pagrindai“.</w:t>
            </w:r>
            <w:r w:rsidR="002F2D0C" w:rsidRPr="00BD5FB4">
              <w:rPr>
                <w:sz w:val="22"/>
                <w:szCs w:val="22"/>
              </w:rPr>
              <w:t xml:space="preserve"> </w:t>
            </w:r>
          </w:p>
          <w:p w14:paraId="5C15F9AF" w14:textId="77777777" w:rsidR="00E03406" w:rsidRPr="00BD5FB4" w:rsidRDefault="00E03406" w:rsidP="00E83E49">
            <w:pPr>
              <w:jc w:val="both"/>
              <w:rPr>
                <w:sz w:val="22"/>
                <w:szCs w:val="22"/>
              </w:rPr>
            </w:pPr>
          </w:p>
          <w:p w14:paraId="41CC161E" w14:textId="75B6BFC4" w:rsidR="00A2195C" w:rsidRPr="00BD5FB4" w:rsidRDefault="00A2195C" w:rsidP="00E83E49">
            <w:pPr>
              <w:jc w:val="both"/>
              <w:rPr>
                <w:sz w:val="22"/>
                <w:szCs w:val="22"/>
              </w:rPr>
            </w:pPr>
            <w:r w:rsidRPr="00BD5FB4">
              <w:rPr>
                <w:sz w:val="22"/>
                <w:szCs w:val="22"/>
              </w:rPr>
              <w:t>Magistro studijose, įvestas pasirenkamasis dalykas „Biomedicininiai tyrimai ir jų reguliavimas“.</w:t>
            </w:r>
            <w:r w:rsidR="00877A8C" w:rsidRPr="00BD5FB4">
              <w:rPr>
                <w:sz w:val="22"/>
                <w:szCs w:val="22"/>
              </w:rPr>
              <w:t xml:space="preserve"> Taip pat šiose studijų programose įvestas laisvai pasirenkamas dalykas </w:t>
            </w:r>
            <w:r w:rsidR="00B468BD" w:rsidRPr="00BD5FB4">
              <w:rPr>
                <w:sz w:val="22"/>
                <w:szCs w:val="22"/>
              </w:rPr>
              <w:t>„Alternatyvių maisto baltymų gamybos technologijos“</w:t>
            </w:r>
            <w:r w:rsidR="00F72FF4" w:rsidRPr="00BD5FB4">
              <w:rPr>
                <w:sz w:val="22"/>
                <w:szCs w:val="22"/>
              </w:rPr>
              <w:t xml:space="preserve">. </w:t>
            </w:r>
            <w:proofErr w:type="spellStart"/>
            <w:r w:rsidR="00F72FF4" w:rsidRPr="00BD5FB4">
              <w:rPr>
                <w:sz w:val="22"/>
                <w:szCs w:val="22"/>
              </w:rPr>
              <w:t>Nanobiotechnologijos</w:t>
            </w:r>
            <w:proofErr w:type="spellEnd"/>
            <w:r w:rsidR="00F72FF4" w:rsidRPr="00BD5FB4">
              <w:rPr>
                <w:sz w:val="22"/>
                <w:szCs w:val="22"/>
              </w:rPr>
              <w:t xml:space="preserve"> studijų programoje įvestas privalomas kursas</w:t>
            </w:r>
            <w:r w:rsidR="002C21AF" w:rsidRPr="00BD5FB4">
              <w:rPr>
                <w:sz w:val="22"/>
                <w:szCs w:val="22"/>
              </w:rPr>
              <w:t xml:space="preserve"> „Automatizuota mikroskopija ir </w:t>
            </w:r>
            <w:proofErr w:type="spellStart"/>
            <w:r w:rsidR="002C21AF" w:rsidRPr="00BD5FB4">
              <w:rPr>
                <w:sz w:val="22"/>
                <w:szCs w:val="22"/>
              </w:rPr>
              <w:t>mikrorobotika</w:t>
            </w:r>
            <w:proofErr w:type="spellEnd"/>
            <w:r w:rsidR="002C21AF" w:rsidRPr="00BD5FB4">
              <w:rPr>
                <w:sz w:val="22"/>
                <w:szCs w:val="22"/>
              </w:rPr>
              <w:t xml:space="preserve">“. </w:t>
            </w:r>
            <w:r w:rsidR="00F72FF4" w:rsidRPr="00BD5FB4">
              <w:rPr>
                <w:sz w:val="22"/>
                <w:szCs w:val="22"/>
              </w:rPr>
              <w:t xml:space="preserve"> </w:t>
            </w:r>
          </w:p>
          <w:p w14:paraId="7EE7ACD3" w14:textId="18DE06C7" w:rsidR="00E03406" w:rsidRPr="00BD5FB4" w:rsidRDefault="00E03406" w:rsidP="00E83E49">
            <w:pPr>
              <w:jc w:val="both"/>
              <w:rPr>
                <w:sz w:val="22"/>
                <w:szCs w:val="22"/>
              </w:rPr>
            </w:pPr>
          </w:p>
          <w:p w14:paraId="18B6B7F8" w14:textId="6E33782A" w:rsidR="00E03406" w:rsidRPr="00BD5FB4" w:rsidRDefault="00E03406" w:rsidP="00E83E49">
            <w:pPr>
              <w:jc w:val="both"/>
              <w:rPr>
                <w:sz w:val="22"/>
                <w:szCs w:val="22"/>
              </w:rPr>
            </w:pPr>
            <w:r w:rsidRPr="00BD5FB4">
              <w:rPr>
                <w:sz w:val="22"/>
                <w:szCs w:val="22"/>
              </w:rPr>
              <w:t>Studijų modulių turinys yra peržiūrimas kiekvienais metais prieš dėstant atitinkamus kursus.</w:t>
            </w:r>
          </w:p>
          <w:p w14:paraId="7EFF3BDF" w14:textId="04187695" w:rsidR="006724EC" w:rsidRPr="00BD5FB4" w:rsidRDefault="006724EC" w:rsidP="00E83E49">
            <w:pPr>
              <w:jc w:val="both"/>
              <w:rPr>
                <w:sz w:val="22"/>
                <w:szCs w:val="22"/>
              </w:rPr>
            </w:pPr>
          </w:p>
        </w:tc>
        <w:tc>
          <w:tcPr>
            <w:tcW w:w="717" w:type="pct"/>
            <w:vAlign w:val="center"/>
          </w:tcPr>
          <w:p w14:paraId="6B43FF81" w14:textId="0AE5FC8F" w:rsidR="00532B52" w:rsidRPr="00BD5FB4" w:rsidRDefault="00FB5A14" w:rsidP="00E83E49">
            <w:pPr>
              <w:jc w:val="both"/>
              <w:rPr>
                <w:sz w:val="22"/>
                <w:szCs w:val="22"/>
              </w:rPr>
            </w:pPr>
            <w:r w:rsidRPr="00BD5FB4">
              <w:rPr>
                <w:sz w:val="22"/>
                <w:szCs w:val="22"/>
              </w:rPr>
              <w:t xml:space="preserve">Pertvarkant </w:t>
            </w:r>
            <w:r w:rsidR="00532B52" w:rsidRPr="00BD5FB4">
              <w:rPr>
                <w:sz w:val="22"/>
                <w:szCs w:val="22"/>
              </w:rPr>
              <w:t xml:space="preserve">bakalauro </w:t>
            </w:r>
            <w:r w:rsidRPr="00BD5FB4">
              <w:rPr>
                <w:sz w:val="22"/>
                <w:szCs w:val="22"/>
              </w:rPr>
              <w:t>studijų programą, nutarta sujungti</w:t>
            </w:r>
            <w:r w:rsidR="00722657" w:rsidRPr="00BD5FB4">
              <w:rPr>
                <w:sz w:val="22"/>
                <w:szCs w:val="22"/>
              </w:rPr>
              <w:t xml:space="preserve"> kursus „Cheminė termodinamika“ bei</w:t>
            </w:r>
            <w:r w:rsidRPr="00BD5FB4">
              <w:rPr>
                <w:sz w:val="22"/>
                <w:szCs w:val="22"/>
              </w:rPr>
              <w:t xml:space="preserve"> </w:t>
            </w:r>
            <w:r w:rsidR="00722657" w:rsidRPr="00BD5FB4">
              <w:rPr>
                <w:sz w:val="22"/>
                <w:szCs w:val="22"/>
              </w:rPr>
              <w:t xml:space="preserve">„Cheminė kinetika“ </w:t>
            </w:r>
            <w:r w:rsidR="004A7C44" w:rsidRPr="00BD5FB4">
              <w:rPr>
                <w:sz w:val="22"/>
                <w:szCs w:val="22"/>
              </w:rPr>
              <w:t xml:space="preserve">pavadinant </w:t>
            </w:r>
            <w:r w:rsidR="00722657" w:rsidRPr="00BD5FB4">
              <w:rPr>
                <w:sz w:val="22"/>
                <w:szCs w:val="22"/>
              </w:rPr>
              <w:t>„Fizikinė chemija“.</w:t>
            </w:r>
            <w:r w:rsidR="004A7C44" w:rsidRPr="00BD5FB4">
              <w:rPr>
                <w:sz w:val="22"/>
                <w:szCs w:val="22"/>
              </w:rPr>
              <w:t xml:space="preserve"> </w:t>
            </w:r>
          </w:p>
          <w:p w14:paraId="6D6BE8DB" w14:textId="013CF186" w:rsidR="00532B52" w:rsidRPr="00BD5FB4" w:rsidRDefault="00532B52" w:rsidP="00E83E49">
            <w:pPr>
              <w:jc w:val="both"/>
              <w:rPr>
                <w:sz w:val="22"/>
                <w:szCs w:val="22"/>
              </w:rPr>
            </w:pPr>
          </w:p>
          <w:p w14:paraId="1A0A5E73" w14:textId="3416B48B" w:rsidR="00532B52" w:rsidRPr="00BD5FB4" w:rsidRDefault="00E03406" w:rsidP="00E83E49">
            <w:pPr>
              <w:jc w:val="both"/>
              <w:rPr>
                <w:sz w:val="22"/>
                <w:szCs w:val="22"/>
              </w:rPr>
            </w:pPr>
            <w:r w:rsidRPr="00BD5FB4">
              <w:rPr>
                <w:sz w:val="22"/>
                <w:szCs w:val="22"/>
              </w:rPr>
              <w:t>Taip pat nutarta</w:t>
            </w:r>
            <w:r w:rsidR="00532B52" w:rsidRPr="00BD5FB4">
              <w:rPr>
                <w:sz w:val="22"/>
                <w:szCs w:val="22"/>
              </w:rPr>
              <w:t xml:space="preserve"> įvesti kursus</w:t>
            </w:r>
            <w:r w:rsidRPr="00BD5FB4">
              <w:rPr>
                <w:sz w:val="22"/>
                <w:szCs w:val="22"/>
              </w:rPr>
              <w:t xml:space="preserve"> „</w:t>
            </w:r>
            <w:proofErr w:type="spellStart"/>
            <w:r w:rsidRPr="00BD5FB4">
              <w:rPr>
                <w:sz w:val="22"/>
                <w:szCs w:val="22"/>
              </w:rPr>
              <w:t>Python</w:t>
            </w:r>
            <w:proofErr w:type="spellEnd"/>
            <w:r w:rsidRPr="00BD5FB4">
              <w:rPr>
                <w:sz w:val="22"/>
                <w:szCs w:val="22"/>
              </w:rPr>
              <w:t xml:space="preserve"> programavimo pagrindai“ bei „Inžinerinė grafika“. </w:t>
            </w:r>
          </w:p>
          <w:p w14:paraId="5FD1114B" w14:textId="52EBB263" w:rsidR="00532B52" w:rsidRPr="00BD5FB4" w:rsidRDefault="00422AF1" w:rsidP="00E83E49">
            <w:pPr>
              <w:jc w:val="both"/>
              <w:rPr>
                <w:sz w:val="22"/>
                <w:szCs w:val="22"/>
              </w:rPr>
            </w:pPr>
            <w:r w:rsidRPr="00BD5FB4">
              <w:rPr>
                <w:sz w:val="22"/>
                <w:szCs w:val="22"/>
              </w:rPr>
              <w:t>Pakeitimus p</w:t>
            </w:r>
            <w:r w:rsidR="00532B52" w:rsidRPr="00BD5FB4">
              <w:rPr>
                <w:sz w:val="22"/>
                <w:szCs w:val="22"/>
              </w:rPr>
              <w:t xml:space="preserve">lanuojama įgyvendinti 2025-2026 m. m. </w:t>
            </w:r>
          </w:p>
          <w:p w14:paraId="20A8E588" w14:textId="2AADED0E" w:rsidR="00283CB3" w:rsidRPr="00BD5FB4" w:rsidRDefault="00722657" w:rsidP="00E83E49">
            <w:pPr>
              <w:jc w:val="both"/>
              <w:rPr>
                <w:sz w:val="22"/>
                <w:szCs w:val="22"/>
              </w:rPr>
            </w:pPr>
            <w:r w:rsidRPr="00BD5FB4">
              <w:rPr>
                <w:sz w:val="22"/>
                <w:szCs w:val="22"/>
              </w:rPr>
              <w:t xml:space="preserve"> </w:t>
            </w:r>
            <w:r w:rsidR="00FB5A14" w:rsidRPr="00BD5FB4">
              <w:rPr>
                <w:sz w:val="22"/>
                <w:szCs w:val="22"/>
              </w:rPr>
              <w:t xml:space="preserve"> </w:t>
            </w:r>
          </w:p>
        </w:tc>
        <w:tc>
          <w:tcPr>
            <w:tcW w:w="907" w:type="pct"/>
          </w:tcPr>
          <w:p w14:paraId="0A7A4E47" w14:textId="2D053622" w:rsidR="007B2A32" w:rsidRPr="00BD5FB4" w:rsidRDefault="007B2A32" w:rsidP="00E83E49">
            <w:pPr>
              <w:jc w:val="both"/>
              <w:rPr>
                <w:sz w:val="22"/>
                <w:szCs w:val="22"/>
              </w:rPr>
            </w:pPr>
          </w:p>
        </w:tc>
      </w:tr>
      <w:tr w:rsidR="00FA69C6" w:rsidRPr="00BD5FB4" w14:paraId="6B644E55" w14:textId="77777777" w:rsidTr="00D44BDA">
        <w:trPr>
          <w:jc w:val="center"/>
        </w:trPr>
        <w:tc>
          <w:tcPr>
            <w:tcW w:w="901" w:type="pct"/>
          </w:tcPr>
          <w:p w14:paraId="16C88EF7" w14:textId="77777777" w:rsidR="008D40C8" w:rsidRPr="00BD5FB4" w:rsidRDefault="008D40C8" w:rsidP="00E83E49">
            <w:pPr>
              <w:jc w:val="both"/>
              <w:rPr>
                <w:sz w:val="22"/>
                <w:szCs w:val="22"/>
              </w:rPr>
            </w:pPr>
            <w:r w:rsidRPr="00BD5FB4">
              <w:rPr>
                <w:sz w:val="22"/>
                <w:szCs w:val="22"/>
              </w:rPr>
              <w:t>2. Mokslo (meno) ir studijų veiklos sąsajos</w:t>
            </w:r>
          </w:p>
          <w:p w14:paraId="21D99913" w14:textId="47DA24F4" w:rsidR="008D40C8" w:rsidRPr="00BD5FB4" w:rsidRDefault="008D40C8" w:rsidP="00E83E49">
            <w:pPr>
              <w:jc w:val="both"/>
              <w:rPr>
                <w:sz w:val="22"/>
                <w:szCs w:val="22"/>
              </w:rPr>
            </w:pPr>
          </w:p>
        </w:tc>
        <w:tc>
          <w:tcPr>
            <w:tcW w:w="1301" w:type="pct"/>
          </w:tcPr>
          <w:p w14:paraId="33D23FBA" w14:textId="2BE03032" w:rsidR="008D40C8" w:rsidRPr="00BD5FB4" w:rsidRDefault="00265F65" w:rsidP="00E83E49">
            <w:pPr>
              <w:jc w:val="both"/>
              <w:rPr>
                <w:sz w:val="22"/>
                <w:szCs w:val="22"/>
              </w:rPr>
            </w:pPr>
            <w:r w:rsidRPr="00BD5FB4">
              <w:rPr>
                <w:sz w:val="22"/>
                <w:szCs w:val="22"/>
              </w:rPr>
              <w:t xml:space="preserve">Į studijų programas turėtų būti įtraukti mokslo elementai, užtikrinantys, kad visi studentai seminarų ar praktinių darbų metu būtų supažindinami su </w:t>
            </w:r>
            <w:r w:rsidRPr="00BD5FB4">
              <w:rPr>
                <w:sz w:val="22"/>
                <w:szCs w:val="22"/>
              </w:rPr>
              <w:lastRenderedPageBreak/>
              <w:t>naujausiais šios srities mokslinių tyrimų pasiekimais.</w:t>
            </w:r>
          </w:p>
        </w:tc>
        <w:tc>
          <w:tcPr>
            <w:tcW w:w="1173" w:type="pct"/>
          </w:tcPr>
          <w:p w14:paraId="327A6B38" w14:textId="77777777" w:rsidR="00532B52" w:rsidRPr="00BD5FB4" w:rsidRDefault="00532B52" w:rsidP="00E83E49">
            <w:pPr>
              <w:jc w:val="both"/>
              <w:rPr>
                <w:color w:val="000000" w:themeColor="text1"/>
                <w:sz w:val="22"/>
                <w:szCs w:val="22"/>
              </w:rPr>
            </w:pPr>
            <w:r w:rsidRPr="00BD5FB4">
              <w:rPr>
                <w:color w:val="000000" w:themeColor="text1"/>
                <w:sz w:val="22"/>
                <w:szCs w:val="22"/>
              </w:rPr>
              <w:lastRenderedPageBreak/>
              <w:t xml:space="preserve">Į studijų programas jau yra įtraukti tokie elementai kaip mokslo rašto darbai, mokslinių </w:t>
            </w:r>
            <w:r w:rsidRPr="00BD5FB4">
              <w:rPr>
                <w:color w:val="000000" w:themeColor="text1"/>
                <w:sz w:val="22"/>
                <w:szCs w:val="22"/>
              </w:rPr>
              <w:lastRenderedPageBreak/>
              <w:t xml:space="preserve">straipsnių rašymas, projektų rengimas. </w:t>
            </w:r>
          </w:p>
          <w:p w14:paraId="1D7015D8" w14:textId="70521429" w:rsidR="00532B52" w:rsidRPr="00BD5FB4" w:rsidRDefault="00532B52" w:rsidP="00E83E49">
            <w:pPr>
              <w:jc w:val="both"/>
              <w:rPr>
                <w:color w:val="000000" w:themeColor="text1"/>
                <w:sz w:val="22"/>
                <w:szCs w:val="22"/>
              </w:rPr>
            </w:pPr>
            <w:r w:rsidRPr="00BD5FB4">
              <w:rPr>
                <w:color w:val="000000" w:themeColor="text1"/>
                <w:sz w:val="22"/>
                <w:szCs w:val="22"/>
              </w:rPr>
              <w:t xml:space="preserve">Jau bakalauro studijų metu studentai yra mokomi, kaip analizuoti naujausią mokslinę literatūrą, </w:t>
            </w:r>
            <w:r w:rsidR="00E03406" w:rsidRPr="00BD5FB4">
              <w:rPr>
                <w:color w:val="000000" w:themeColor="text1"/>
                <w:sz w:val="22"/>
                <w:szCs w:val="22"/>
              </w:rPr>
              <w:t xml:space="preserve">bei ją </w:t>
            </w:r>
            <w:r w:rsidRPr="00BD5FB4">
              <w:rPr>
                <w:color w:val="000000" w:themeColor="text1"/>
                <w:sz w:val="22"/>
                <w:szCs w:val="22"/>
              </w:rPr>
              <w:t>cituoti</w:t>
            </w:r>
            <w:r w:rsidR="00E03406" w:rsidRPr="00BD5FB4">
              <w:rPr>
                <w:color w:val="000000" w:themeColor="text1"/>
                <w:sz w:val="22"/>
                <w:szCs w:val="22"/>
              </w:rPr>
              <w:t xml:space="preserve">, rengti rašto darbus ir </w:t>
            </w:r>
            <w:r w:rsidRPr="00BD5FB4">
              <w:rPr>
                <w:color w:val="000000" w:themeColor="text1"/>
                <w:sz w:val="22"/>
                <w:szCs w:val="22"/>
              </w:rPr>
              <w:t xml:space="preserve">seminarų ar pratybų metu </w:t>
            </w:r>
            <w:r w:rsidR="00E03406" w:rsidRPr="00BD5FB4">
              <w:rPr>
                <w:color w:val="000000" w:themeColor="text1"/>
                <w:sz w:val="22"/>
                <w:szCs w:val="22"/>
              </w:rPr>
              <w:t xml:space="preserve">juos </w:t>
            </w:r>
            <w:r w:rsidRPr="00BD5FB4">
              <w:rPr>
                <w:color w:val="000000" w:themeColor="text1"/>
                <w:sz w:val="22"/>
                <w:szCs w:val="22"/>
              </w:rPr>
              <w:t>pristatyti.</w:t>
            </w:r>
          </w:p>
          <w:p w14:paraId="7002B26B" w14:textId="0BE5266C" w:rsidR="00532B52" w:rsidRPr="00BD5FB4" w:rsidRDefault="00532B52" w:rsidP="00E83E49">
            <w:pPr>
              <w:jc w:val="both"/>
              <w:rPr>
                <w:sz w:val="22"/>
                <w:szCs w:val="22"/>
              </w:rPr>
            </w:pPr>
            <w:r w:rsidRPr="00BD5FB4">
              <w:rPr>
                <w:sz w:val="22"/>
                <w:szCs w:val="22"/>
              </w:rPr>
              <w:t>Studentams skiriamos universiteto stipendijos  vykdyti mokslinę</w:t>
            </w:r>
            <w:r w:rsidR="00E03406" w:rsidRPr="00BD5FB4">
              <w:rPr>
                <w:sz w:val="22"/>
                <w:szCs w:val="22"/>
              </w:rPr>
              <w:t xml:space="preserve"> veiklą, jie dalyvauja  </w:t>
            </w:r>
            <w:r w:rsidR="00422AF1" w:rsidRPr="00BD5FB4">
              <w:rPr>
                <w:sz w:val="22"/>
                <w:szCs w:val="22"/>
              </w:rPr>
              <w:t>LMT finansuojamose vasaros praktikuose ir tyrimuose semestro metu. Visi studentai yra skatinami</w:t>
            </w:r>
            <w:r w:rsidRPr="00BD5FB4">
              <w:rPr>
                <w:sz w:val="22"/>
                <w:szCs w:val="22"/>
              </w:rPr>
              <w:t xml:space="preserve"> </w:t>
            </w:r>
            <w:proofErr w:type="spellStart"/>
            <w:r w:rsidRPr="00BD5FB4">
              <w:rPr>
                <w:sz w:val="22"/>
                <w:szCs w:val="22"/>
              </w:rPr>
              <w:t>skatinami</w:t>
            </w:r>
            <w:proofErr w:type="spellEnd"/>
            <w:r w:rsidRPr="00BD5FB4">
              <w:rPr>
                <w:sz w:val="22"/>
                <w:szCs w:val="22"/>
              </w:rPr>
              <w:t xml:space="preserve"> dalyvauti mokslinėse konferencijose ir pristatyti savo darbus.</w:t>
            </w:r>
            <w:r w:rsidR="00422AF1" w:rsidRPr="00BD5FB4">
              <w:rPr>
                <w:sz w:val="22"/>
                <w:szCs w:val="22"/>
              </w:rPr>
              <w:t xml:space="preserve"> </w:t>
            </w:r>
            <w:r w:rsidR="001610FB" w:rsidRPr="00BD5FB4">
              <w:rPr>
                <w:sz w:val="22"/>
                <w:szCs w:val="22"/>
              </w:rPr>
              <w:t>Į d</w:t>
            </w:r>
            <w:r w:rsidR="00422AF1" w:rsidRPr="00BD5FB4">
              <w:rPr>
                <w:sz w:val="22"/>
                <w:szCs w:val="22"/>
              </w:rPr>
              <w:t>alyvavim</w:t>
            </w:r>
            <w:r w:rsidR="001610FB" w:rsidRPr="00BD5FB4">
              <w:rPr>
                <w:sz w:val="22"/>
                <w:szCs w:val="22"/>
              </w:rPr>
              <w:t xml:space="preserve">ą </w:t>
            </w:r>
            <w:r w:rsidR="00422AF1" w:rsidRPr="00BD5FB4">
              <w:rPr>
                <w:sz w:val="22"/>
                <w:szCs w:val="22"/>
              </w:rPr>
              <w:t xml:space="preserve">konferencijose </w:t>
            </w:r>
            <w:r w:rsidR="001610FB" w:rsidRPr="00BD5FB4">
              <w:rPr>
                <w:sz w:val="22"/>
                <w:szCs w:val="22"/>
              </w:rPr>
              <w:t>atsižvelgiama vertinant baigiamuosius darbus.</w:t>
            </w:r>
          </w:p>
          <w:p w14:paraId="3283A07E" w14:textId="661913FB" w:rsidR="00532B52" w:rsidRPr="00BD5FB4" w:rsidRDefault="00532B52" w:rsidP="00E83E49">
            <w:pPr>
              <w:jc w:val="both"/>
              <w:rPr>
                <w:i/>
                <w:sz w:val="22"/>
                <w:szCs w:val="22"/>
                <w:highlight w:val="yellow"/>
              </w:rPr>
            </w:pPr>
            <w:r w:rsidRPr="00BD5FB4">
              <w:rPr>
                <w:sz w:val="22"/>
                <w:szCs w:val="22"/>
              </w:rPr>
              <w:t xml:space="preserve">Rengdami </w:t>
            </w:r>
            <w:r w:rsidR="001610FB" w:rsidRPr="00BD5FB4">
              <w:rPr>
                <w:sz w:val="22"/>
                <w:szCs w:val="22"/>
              </w:rPr>
              <w:t>juos</w:t>
            </w:r>
            <w:r w:rsidRPr="00BD5FB4">
              <w:rPr>
                <w:sz w:val="22"/>
                <w:szCs w:val="22"/>
              </w:rPr>
              <w:t xml:space="preserve"> </w:t>
            </w:r>
            <w:r w:rsidR="00422AF1" w:rsidRPr="00BD5FB4">
              <w:rPr>
                <w:sz w:val="22"/>
                <w:szCs w:val="22"/>
              </w:rPr>
              <w:t>studentai skatinami remtis</w:t>
            </w:r>
            <w:r w:rsidRPr="00BD5FB4">
              <w:rPr>
                <w:sz w:val="22"/>
                <w:szCs w:val="22"/>
              </w:rPr>
              <w:t xml:space="preserve"> naujausia moksline literatūra ir metodais.</w:t>
            </w:r>
            <w:r w:rsidR="00422AF1" w:rsidRPr="00BD5FB4">
              <w:rPr>
                <w:sz w:val="22"/>
                <w:szCs w:val="22"/>
              </w:rPr>
              <w:t xml:space="preserve"> Universitetas skiria didelę biudžeto dalį </w:t>
            </w:r>
            <w:r w:rsidR="00D0564F" w:rsidRPr="00BD5FB4">
              <w:rPr>
                <w:sz w:val="22"/>
                <w:szCs w:val="22"/>
              </w:rPr>
              <w:t xml:space="preserve">naujausiai literatūrai įsigyti. Dėstytojai prieš kiekvieną semestrą skatinami peržiūrėti rekomenduojamos literatūros </w:t>
            </w:r>
            <w:r w:rsidR="001610FB" w:rsidRPr="00BD5FB4">
              <w:rPr>
                <w:sz w:val="22"/>
                <w:szCs w:val="22"/>
              </w:rPr>
              <w:t>sąraš</w:t>
            </w:r>
            <w:r w:rsidR="00600E6E" w:rsidRPr="00BD5FB4">
              <w:rPr>
                <w:sz w:val="22"/>
                <w:szCs w:val="22"/>
              </w:rPr>
              <w:t>us</w:t>
            </w:r>
            <w:r w:rsidR="001610FB" w:rsidRPr="00BD5FB4">
              <w:rPr>
                <w:sz w:val="22"/>
                <w:szCs w:val="22"/>
              </w:rPr>
              <w:t xml:space="preserve"> ir skatinami pirkti naujausius (ne senesnius nei 5 metai) vadovėlius.</w:t>
            </w:r>
          </w:p>
          <w:p w14:paraId="23E38389" w14:textId="1BA5FA1E" w:rsidR="008D40C8" w:rsidRPr="00BD5FB4" w:rsidRDefault="008D40C8" w:rsidP="00E83E49">
            <w:pPr>
              <w:jc w:val="both"/>
              <w:rPr>
                <w:sz w:val="22"/>
                <w:szCs w:val="22"/>
              </w:rPr>
            </w:pPr>
          </w:p>
        </w:tc>
        <w:tc>
          <w:tcPr>
            <w:tcW w:w="717" w:type="pct"/>
            <w:vAlign w:val="center"/>
          </w:tcPr>
          <w:p w14:paraId="6A39E4C0" w14:textId="370E711C" w:rsidR="00C05D93" w:rsidRPr="00BD5FB4" w:rsidRDefault="00C05D93" w:rsidP="00E83E49">
            <w:pPr>
              <w:jc w:val="both"/>
              <w:rPr>
                <w:sz w:val="22"/>
                <w:szCs w:val="22"/>
              </w:rPr>
            </w:pPr>
          </w:p>
        </w:tc>
        <w:tc>
          <w:tcPr>
            <w:tcW w:w="907" w:type="pct"/>
          </w:tcPr>
          <w:p w14:paraId="4A098C9D" w14:textId="3BFA901E" w:rsidR="00DD4125" w:rsidRPr="00BD5FB4" w:rsidRDefault="00DD4125" w:rsidP="00E83E49">
            <w:pPr>
              <w:jc w:val="both"/>
              <w:rPr>
                <w:sz w:val="22"/>
                <w:szCs w:val="22"/>
              </w:rPr>
            </w:pPr>
          </w:p>
        </w:tc>
      </w:tr>
      <w:tr w:rsidR="00FA69C6" w:rsidRPr="00BD5FB4" w14:paraId="0567B1EA" w14:textId="77777777" w:rsidTr="00D44BDA">
        <w:trPr>
          <w:jc w:val="center"/>
        </w:trPr>
        <w:tc>
          <w:tcPr>
            <w:tcW w:w="901" w:type="pct"/>
          </w:tcPr>
          <w:p w14:paraId="021DF0EB" w14:textId="47890386" w:rsidR="008D40C8" w:rsidRPr="00BD5FB4" w:rsidRDefault="008D40C8" w:rsidP="00E83E49">
            <w:pPr>
              <w:jc w:val="both"/>
              <w:rPr>
                <w:sz w:val="22"/>
                <w:szCs w:val="22"/>
              </w:rPr>
            </w:pPr>
            <w:r w:rsidRPr="00BD5FB4">
              <w:rPr>
                <w:sz w:val="22"/>
                <w:szCs w:val="22"/>
              </w:rPr>
              <w:t>3. Studentų priėmimas ir parama</w:t>
            </w:r>
          </w:p>
        </w:tc>
        <w:tc>
          <w:tcPr>
            <w:tcW w:w="1301" w:type="pct"/>
          </w:tcPr>
          <w:p w14:paraId="51B01959" w14:textId="68E7B101" w:rsidR="008D40C8" w:rsidRPr="00BD5FB4" w:rsidRDefault="00265F65" w:rsidP="00E83E49">
            <w:pPr>
              <w:jc w:val="both"/>
              <w:rPr>
                <w:sz w:val="22"/>
                <w:szCs w:val="22"/>
              </w:rPr>
            </w:pPr>
            <w:r w:rsidRPr="00BD5FB4">
              <w:rPr>
                <w:sz w:val="22"/>
                <w:szCs w:val="22"/>
              </w:rPr>
              <w:t>Pagerinti informacijos pateikimą studentams ir padidinti studentų konsultavimo galimybes.</w:t>
            </w:r>
          </w:p>
        </w:tc>
        <w:tc>
          <w:tcPr>
            <w:tcW w:w="1173" w:type="pct"/>
          </w:tcPr>
          <w:p w14:paraId="1D3DCF0E" w14:textId="669F8A19" w:rsidR="00E03406" w:rsidRPr="00BD5FB4" w:rsidRDefault="00E03406" w:rsidP="00E83E49">
            <w:pPr>
              <w:jc w:val="both"/>
              <w:rPr>
                <w:sz w:val="22"/>
                <w:szCs w:val="22"/>
              </w:rPr>
            </w:pPr>
            <w:proofErr w:type="spellStart"/>
            <w:r w:rsidRPr="00BD5FB4">
              <w:rPr>
                <w:sz w:val="22"/>
                <w:szCs w:val="22"/>
              </w:rPr>
              <w:t>Moodle</w:t>
            </w:r>
            <w:proofErr w:type="spellEnd"/>
            <w:r w:rsidRPr="00BD5FB4">
              <w:rPr>
                <w:sz w:val="22"/>
                <w:szCs w:val="22"/>
              </w:rPr>
              <w:t xml:space="preserve"> informacinėje sistemoje dėstytojai kelia informaciją studentams. </w:t>
            </w:r>
            <w:r w:rsidR="001610FB" w:rsidRPr="00BD5FB4">
              <w:rPr>
                <w:sz w:val="22"/>
                <w:szCs w:val="22"/>
              </w:rPr>
              <w:t xml:space="preserve">Dėstytojai skatinami aprobuoti </w:t>
            </w:r>
            <w:proofErr w:type="spellStart"/>
            <w:r w:rsidR="001610FB" w:rsidRPr="00BD5FB4">
              <w:rPr>
                <w:sz w:val="22"/>
                <w:szCs w:val="22"/>
              </w:rPr>
              <w:t>Moodle</w:t>
            </w:r>
            <w:proofErr w:type="spellEnd"/>
            <w:r w:rsidR="001610FB" w:rsidRPr="00BD5FB4">
              <w:rPr>
                <w:sz w:val="22"/>
                <w:szCs w:val="22"/>
              </w:rPr>
              <w:t xml:space="preserve"> medžiagą. Semestro eigoje, s</w:t>
            </w:r>
            <w:r w:rsidRPr="00BD5FB4">
              <w:rPr>
                <w:sz w:val="22"/>
                <w:szCs w:val="22"/>
              </w:rPr>
              <w:t xml:space="preserve">tudentai mato </w:t>
            </w:r>
            <w:r w:rsidRPr="00BD5FB4">
              <w:rPr>
                <w:sz w:val="22"/>
                <w:szCs w:val="22"/>
              </w:rPr>
              <w:lastRenderedPageBreak/>
              <w:t xml:space="preserve">kiekvieno dėstytojo konsultacijų grafiką, kuriuo metu jie gali konsultuotis. Taip pat studentai su dėstytojais gali individualiai tartis dėl konsultacijų.  </w:t>
            </w:r>
          </w:p>
          <w:p w14:paraId="673D167D" w14:textId="6B207C11" w:rsidR="00E03406" w:rsidRPr="00BD5FB4" w:rsidRDefault="00E03406" w:rsidP="00E83E49">
            <w:pPr>
              <w:jc w:val="both"/>
              <w:rPr>
                <w:sz w:val="22"/>
                <w:szCs w:val="22"/>
              </w:rPr>
            </w:pPr>
            <w:r w:rsidRPr="00BD5FB4">
              <w:rPr>
                <w:sz w:val="22"/>
                <w:szCs w:val="22"/>
              </w:rPr>
              <w:t>Skatinamas bendravimas gyvai ir reikalaujama dėstytojų atsakyti į studentų laiškus e-paštu per 2 d.</w:t>
            </w:r>
            <w:r w:rsidR="00165B08" w:rsidRPr="00BD5FB4">
              <w:rPr>
                <w:sz w:val="22"/>
                <w:szCs w:val="22"/>
              </w:rPr>
              <w:t xml:space="preserve"> </w:t>
            </w:r>
            <w:r w:rsidRPr="00BD5FB4">
              <w:rPr>
                <w:sz w:val="22"/>
                <w:szCs w:val="22"/>
              </w:rPr>
              <w:t>d.</w:t>
            </w:r>
            <w:r w:rsidR="001610FB" w:rsidRPr="00BD5FB4">
              <w:rPr>
                <w:sz w:val="22"/>
                <w:szCs w:val="22"/>
              </w:rPr>
              <w:t xml:space="preserve"> Bakalauro studijų pirmo kurso studentams yra privalomos paskaitos, </w:t>
            </w:r>
            <w:r w:rsidR="00BC0D8E" w:rsidRPr="00BD5FB4">
              <w:rPr>
                <w:sz w:val="22"/>
                <w:szCs w:val="22"/>
              </w:rPr>
              <w:t>pratybos</w:t>
            </w:r>
            <w:r w:rsidR="001610FB" w:rsidRPr="00BD5FB4">
              <w:rPr>
                <w:sz w:val="22"/>
                <w:szCs w:val="22"/>
              </w:rPr>
              <w:t xml:space="preserve"> bei </w:t>
            </w:r>
            <w:proofErr w:type="spellStart"/>
            <w:r w:rsidR="001610FB" w:rsidRPr="00BD5FB4">
              <w:rPr>
                <w:sz w:val="22"/>
                <w:szCs w:val="22"/>
              </w:rPr>
              <w:t>lab</w:t>
            </w:r>
            <w:r w:rsidR="00840DA2" w:rsidRPr="00BD5FB4">
              <w:rPr>
                <w:sz w:val="22"/>
                <w:szCs w:val="22"/>
              </w:rPr>
              <w:t>aratoriniai</w:t>
            </w:r>
            <w:proofErr w:type="spellEnd"/>
            <w:r w:rsidR="001610FB" w:rsidRPr="00BD5FB4">
              <w:rPr>
                <w:sz w:val="22"/>
                <w:szCs w:val="22"/>
              </w:rPr>
              <w:t xml:space="preserve"> darbai, o vėlesniuose kursuose – nustatytas privalomo pratybų lankomumo procentas. </w:t>
            </w:r>
            <w:r w:rsidR="001374B1" w:rsidRPr="00BD5FB4">
              <w:rPr>
                <w:sz w:val="22"/>
                <w:szCs w:val="22"/>
              </w:rPr>
              <w:t xml:space="preserve">Laboratorinių darbų lankomumas </w:t>
            </w:r>
            <w:r w:rsidR="00860970" w:rsidRPr="00BD5FB4">
              <w:rPr>
                <w:sz w:val="22"/>
                <w:szCs w:val="22"/>
              </w:rPr>
              <w:t xml:space="preserve">yra privalomas. </w:t>
            </w:r>
          </w:p>
          <w:p w14:paraId="6BC94B17" w14:textId="1AB4526A" w:rsidR="008D40C8" w:rsidRPr="00BD5FB4" w:rsidRDefault="00860970" w:rsidP="00E83E49">
            <w:pPr>
              <w:jc w:val="both"/>
              <w:rPr>
                <w:sz w:val="22"/>
                <w:szCs w:val="22"/>
              </w:rPr>
            </w:pPr>
            <w:r w:rsidRPr="00BD5FB4">
              <w:rPr>
                <w:sz w:val="22"/>
                <w:szCs w:val="22"/>
              </w:rPr>
              <w:t>Po kiekvieno semestro v</w:t>
            </w:r>
            <w:r w:rsidR="00E03406" w:rsidRPr="00BD5FB4">
              <w:rPr>
                <w:sz w:val="22"/>
                <w:szCs w:val="22"/>
              </w:rPr>
              <w:t>ykdomos studentų apklausos, kurių metu studentai turi galimybę išsakyti savo nuomonę</w:t>
            </w:r>
            <w:r w:rsidRPr="00BD5FB4">
              <w:rPr>
                <w:sz w:val="22"/>
                <w:szCs w:val="22"/>
              </w:rPr>
              <w:t xml:space="preserve"> apie dėstytojus bei dėstymo kokybę.</w:t>
            </w:r>
            <w:r w:rsidR="002E06DD" w:rsidRPr="00BD5FB4">
              <w:rPr>
                <w:sz w:val="22"/>
                <w:szCs w:val="22"/>
              </w:rPr>
              <w:t xml:space="preserve"> Taip pat SPK narių studentų inciatyva </w:t>
            </w:r>
            <w:r w:rsidR="00BC0D8E" w:rsidRPr="00BD5FB4">
              <w:rPr>
                <w:sz w:val="22"/>
                <w:szCs w:val="22"/>
              </w:rPr>
              <w:t>vykdomos</w:t>
            </w:r>
            <w:r w:rsidR="00E1716E" w:rsidRPr="00BD5FB4">
              <w:rPr>
                <w:sz w:val="22"/>
                <w:szCs w:val="22"/>
              </w:rPr>
              <w:t xml:space="preserve"> </w:t>
            </w:r>
            <w:r w:rsidR="00BC0D8E" w:rsidRPr="00BD5FB4">
              <w:rPr>
                <w:sz w:val="22"/>
                <w:szCs w:val="22"/>
              </w:rPr>
              <w:t>papildomos</w:t>
            </w:r>
            <w:r w:rsidR="00E1716E" w:rsidRPr="00BD5FB4">
              <w:rPr>
                <w:sz w:val="22"/>
                <w:szCs w:val="22"/>
              </w:rPr>
              <w:t xml:space="preserve"> studentų apklauso</w:t>
            </w:r>
            <w:r w:rsidR="00BC0D8E" w:rsidRPr="00BD5FB4">
              <w:rPr>
                <w:sz w:val="22"/>
                <w:szCs w:val="22"/>
              </w:rPr>
              <w:t>s</w:t>
            </w:r>
            <w:r w:rsidR="00E1716E" w:rsidRPr="00BD5FB4">
              <w:rPr>
                <w:sz w:val="22"/>
                <w:szCs w:val="22"/>
              </w:rPr>
              <w:t xml:space="preserve"> apie dėstytojus bei studijų kokybę.</w:t>
            </w:r>
            <w:r w:rsidR="002E06DD" w:rsidRPr="00BD5FB4">
              <w:rPr>
                <w:sz w:val="22"/>
                <w:szCs w:val="22"/>
              </w:rPr>
              <w:t xml:space="preserve"> </w:t>
            </w:r>
          </w:p>
        </w:tc>
        <w:tc>
          <w:tcPr>
            <w:tcW w:w="717" w:type="pct"/>
            <w:vAlign w:val="center"/>
          </w:tcPr>
          <w:p w14:paraId="2452A772" w14:textId="7BF7C8EE" w:rsidR="00456619" w:rsidRPr="00BD5FB4" w:rsidRDefault="00456619" w:rsidP="00E83E49">
            <w:pPr>
              <w:jc w:val="both"/>
              <w:rPr>
                <w:sz w:val="22"/>
                <w:szCs w:val="22"/>
              </w:rPr>
            </w:pPr>
          </w:p>
        </w:tc>
        <w:tc>
          <w:tcPr>
            <w:tcW w:w="907" w:type="pct"/>
          </w:tcPr>
          <w:p w14:paraId="11EE7E15" w14:textId="32150E18" w:rsidR="00D44BDA" w:rsidRPr="00BD5FB4" w:rsidRDefault="00D44BDA" w:rsidP="00E83E49">
            <w:pPr>
              <w:pStyle w:val="CommentText"/>
              <w:spacing w:after="0"/>
              <w:jc w:val="both"/>
              <w:rPr>
                <w:rFonts w:cs="Times New Roman"/>
                <w:sz w:val="22"/>
                <w:szCs w:val="22"/>
              </w:rPr>
            </w:pPr>
          </w:p>
        </w:tc>
      </w:tr>
      <w:tr w:rsidR="00FA69C6" w:rsidRPr="00BD5FB4" w14:paraId="2CDD528B" w14:textId="77777777" w:rsidTr="00D44BDA">
        <w:trPr>
          <w:jc w:val="center"/>
        </w:trPr>
        <w:tc>
          <w:tcPr>
            <w:tcW w:w="901" w:type="pct"/>
          </w:tcPr>
          <w:p w14:paraId="7262BDC3" w14:textId="77777777" w:rsidR="008D40C8" w:rsidRPr="00BD5FB4" w:rsidRDefault="008D40C8" w:rsidP="00E83E49">
            <w:pPr>
              <w:jc w:val="both"/>
              <w:rPr>
                <w:sz w:val="22"/>
                <w:szCs w:val="22"/>
              </w:rPr>
            </w:pPr>
            <w:r w:rsidRPr="00BD5FB4">
              <w:rPr>
                <w:sz w:val="22"/>
                <w:szCs w:val="22"/>
              </w:rPr>
              <w:t>4.Studijavimas, studijų pasiekimai ir absolventų užimtumas</w:t>
            </w:r>
          </w:p>
          <w:p w14:paraId="5116C36F" w14:textId="77777777" w:rsidR="008D40C8" w:rsidRPr="00BD5FB4" w:rsidRDefault="008D40C8" w:rsidP="00E83E49">
            <w:pPr>
              <w:jc w:val="both"/>
              <w:rPr>
                <w:sz w:val="22"/>
                <w:szCs w:val="22"/>
              </w:rPr>
            </w:pPr>
          </w:p>
          <w:p w14:paraId="7154569B" w14:textId="77777777" w:rsidR="008D40C8" w:rsidRPr="00BD5FB4" w:rsidRDefault="008D40C8" w:rsidP="00E83E49">
            <w:pPr>
              <w:jc w:val="both"/>
              <w:rPr>
                <w:sz w:val="22"/>
                <w:szCs w:val="22"/>
              </w:rPr>
            </w:pPr>
          </w:p>
          <w:p w14:paraId="4B8B7DFB" w14:textId="77777777" w:rsidR="008D40C8" w:rsidRPr="00BD5FB4" w:rsidRDefault="008D40C8" w:rsidP="00E83E49">
            <w:pPr>
              <w:jc w:val="both"/>
              <w:rPr>
                <w:sz w:val="22"/>
                <w:szCs w:val="22"/>
              </w:rPr>
            </w:pPr>
          </w:p>
          <w:p w14:paraId="76212004" w14:textId="2C0C63F0" w:rsidR="008D40C8" w:rsidRPr="00BD5FB4" w:rsidRDefault="008D40C8" w:rsidP="00E83E49">
            <w:pPr>
              <w:jc w:val="both"/>
              <w:rPr>
                <w:sz w:val="22"/>
                <w:szCs w:val="22"/>
              </w:rPr>
            </w:pPr>
          </w:p>
        </w:tc>
        <w:tc>
          <w:tcPr>
            <w:tcW w:w="1301" w:type="pct"/>
          </w:tcPr>
          <w:p w14:paraId="6FD63AA0" w14:textId="75FE6973" w:rsidR="008D40C8" w:rsidRPr="00BD5FB4" w:rsidRDefault="00265F65" w:rsidP="00E83E49">
            <w:pPr>
              <w:jc w:val="both"/>
              <w:rPr>
                <w:sz w:val="22"/>
                <w:szCs w:val="22"/>
              </w:rPr>
            </w:pPr>
            <w:r w:rsidRPr="00BD5FB4">
              <w:rPr>
                <w:sz w:val="22"/>
                <w:szCs w:val="22"/>
              </w:rPr>
              <w:t>Patariame atlikti sistemingą 2017 m. priimtų studentų, kurie nebaigė studijų 2021 m. dėl sumažėjusio kursą baigusių studentų santykio, vertinimą ir parengti veiksmų planą ateičiai, kad būtų išvengta nubyrėjimų</w:t>
            </w:r>
          </w:p>
        </w:tc>
        <w:tc>
          <w:tcPr>
            <w:tcW w:w="1173" w:type="pct"/>
          </w:tcPr>
          <w:p w14:paraId="6E5D78CF" w14:textId="23F61565" w:rsidR="00BC0D8E" w:rsidRPr="00BD5FB4" w:rsidRDefault="00BC0D8E" w:rsidP="00E83E49">
            <w:pPr>
              <w:jc w:val="both"/>
              <w:rPr>
                <w:sz w:val="22"/>
                <w:szCs w:val="22"/>
              </w:rPr>
            </w:pPr>
            <w:r w:rsidRPr="00BD5FB4">
              <w:rPr>
                <w:sz w:val="22"/>
                <w:szCs w:val="22"/>
              </w:rPr>
              <w:t xml:space="preserve">2022 m. pavasarį studijas baigė net </w:t>
            </w:r>
            <w:r w:rsidR="00A97573" w:rsidRPr="00BD5FB4">
              <w:rPr>
                <w:sz w:val="22"/>
                <w:szCs w:val="22"/>
              </w:rPr>
              <w:t>aštuoni</w:t>
            </w:r>
            <w:r w:rsidRPr="00BD5FB4">
              <w:rPr>
                <w:sz w:val="22"/>
                <w:szCs w:val="22"/>
              </w:rPr>
              <w:t xml:space="preserve"> 2017 metais priimti studentai, t. y. nevyko nubyrėjimo, bet buvo pertraukiamos studijos. Pastebima tendencija, kad nubyrėjimas vyksta pirmuose kursuose, o vėliau, jei ir studijos yra pertraukiamos, dauguma studentų jas vis dėlto baigia. </w:t>
            </w:r>
          </w:p>
          <w:p w14:paraId="24546AD1" w14:textId="6C97E6D9" w:rsidR="008D40C8" w:rsidRPr="00BD5FB4" w:rsidRDefault="00BC0D8E" w:rsidP="00E83E49">
            <w:pPr>
              <w:jc w:val="both"/>
              <w:rPr>
                <w:sz w:val="22"/>
                <w:szCs w:val="22"/>
                <w:shd w:val="clear" w:color="auto" w:fill="FFFFFF" w:themeFill="background1"/>
              </w:rPr>
            </w:pPr>
            <w:r w:rsidRPr="00BD5FB4">
              <w:rPr>
                <w:sz w:val="22"/>
                <w:szCs w:val="22"/>
                <w:shd w:val="clear" w:color="auto" w:fill="FFFFFF" w:themeFill="background1"/>
              </w:rPr>
              <w:t xml:space="preserve">Siekiant išvengti studentų iškritimo ankstesniuose kursuose, </w:t>
            </w:r>
            <w:r w:rsidRPr="00BD5FB4">
              <w:rPr>
                <w:sz w:val="22"/>
                <w:szCs w:val="22"/>
                <w:shd w:val="clear" w:color="auto" w:fill="FFFFFF" w:themeFill="background1"/>
              </w:rPr>
              <w:lastRenderedPageBreak/>
              <w:t>bakalauro studijose  įvesti grupės kuratoriaus pareigybė atskirai lietuvių ir anglų k.</w:t>
            </w:r>
            <w:r w:rsidR="0065614B" w:rsidRPr="00BD5FB4">
              <w:rPr>
                <w:sz w:val="22"/>
                <w:szCs w:val="22"/>
                <w:shd w:val="clear" w:color="auto" w:fill="FFFFFF" w:themeFill="background1"/>
              </w:rPr>
              <w:t xml:space="preserve"> Vyksta periodiniai susitikimai su kuratoriais, kuriuose aptariamos studijų problemos. </w:t>
            </w:r>
            <w:r w:rsidRPr="00BD5FB4">
              <w:rPr>
                <w:sz w:val="22"/>
                <w:szCs w:val="22"/>
                <w:shd w:val="clear" w:color="auto" w:fill="FFFFFF" w:themeFill="background1"/>
              </w:rPr>
              <w:t xml:space="preserve"> </w:t>
            </w:r>
          </w:p>
          <w:p w14:paraId="140F8CFB" w14:textId="77777777" w:rsidR="00BC0D8E" w:rsidRPr="00BD5FB4" w:rsidRDefault="00BC0D8E" w:rsidP="00E83E49">
            <w:pPr>
              <w:jc w:val="both"/>
              <w:rPr>
                <w:sz w:val="22"/>
                <w:szCs w:val="22"/>
              </w:rPr>
            </w:pPr>
            <w:r w:rsidRPr="00BD5FB4">
              <w:rPr>
                <w:sz w:val="22"/>
                <w:szCs w:val="22"/>
              </w:rPr>
              <w:t xml:space="preserve">Į magistro studijas siekiama priimti gabius bei motyvuotus užsienio studentus. Vertinami jų bakalauro diplomai bei studijuoti dalykai ir jų įvertinimai. Taip pat </w:t>
            </w:r>
            <w:r w:rsidR="0065614B" w:rsidRPr="00BD5FB4">
              <w:rPr>
                <w:sz w:val="22"/>
                <w:szCs w:val="22"/>
              </w:rPr>
              <w:t>peržiūrimi jų</w:t>
            </w:r>
            <w:r w:rsidRPr="00BD5FB4">
              <w:rPr>
                <w:sz w:val="22"/>
                <w:szCs w:val="22"/>
              </w:rPr>
              <w:t xml:space="preserve"> </w:t>
            </w:r>
            <w:proofErr w:type="spellStart"/>
            <w:r w:rsidRPr="00BD5FB4">
              <w:rPr>
                <w:sz w:val="22"/>
                <w:szCs w:val="22"/>
              </w:rPr>
              <w:t>videointerviu</w:t>
            </w:r>
            <w:proofErr w:type="spellEnd"/>
            <w:r w:rsidR="0065614B" w:rsidRPr="00BD5FB4">
              <w:rPr>
                <w:sz w:val="22"/>
                <w:szCs w:val="22"/>
              </w:rPr>
              <w:t xml:space="preserve"> siekiant įvertinti motyvaciją bei anglų k. žinias. </w:t>
            </w:r>
          </w:p>
          <w:p w14:paraId="267037F1" w14:textId="77777777" w:rsidR="0065614B" w:rsidRPr="00BD5FB4" w:rsidRDefault="0065614B" w:rsidP="00E83E49">
            <w:pPr>
              <w:jc w:val="both"/>
              <w:rPr>
                <w:sz w:val="22"/>
                <w:szCs w:val="22"/>
              </w:rPr>
            </w:pPr>
          </w:p>
          <w:p w14:paraId="6E4681EA" w14:textId="77777777" w:rsidR="0065614B" w:rsidRPr="00BD5FB4" w:rsidRDefault="0065614B" w:rsidP="00E83E49">
            <w:pPr>
              <w:jc w:val="both"/>
              <w:rPr>
                <w:sz w:val="22"/>
                <w:szCs w:val="22"/>
              </w:rPr>
            </w:pPr>
            <w:r w:rsidRPr="00BD5FB4">
              <w:rPr>
                <w:sz w:val="22"/>
                <w:szCs w:val="22"/>
              </w:rPr>
              <w:t xml:space="preserve">Universitete įvestos psichologo bei kapeliono pareigybės. Studentai informuojami apie galimybes kreiptis į šiuos asmenis. </w:t>
            </w:r>
          </w:p>
          <w:p w14:paraId="7D0E7D5D" w14:textId="77777777" w:rsidR="0065614B" w:rsidRPr="00BD5FB4" w:rsidRDefault="0065614B" w:rsidP="00E83E49">
            <w:pPr>
              <w:jc w:val="both"/>
              <w:rPr>
                <w:sz w:val="22"/>
                <w:szCs w:val="22"/>
              </w:rPr>
            </w:pPr>
          </w:p>
          <w:p w14:paraId="08941207" w14:textId="22131CAF" w:rsidR="0065614B" w:rsidRPr="00BD5FB4" w:rsidRDefault="00CF1766" w:rsidP="00E83E49">
            <w:pPr>
              <w:jc w:val="both"/>
              <w:rPr>
                <w:sz w:val="22"/>
                <w:szCs w:val="22"/>
              </w:rPr>
            </w:pPr>
            <w:r w:rsidRPr="00BD5FB4">
              <w:rPr>
                <w:sz w:val="22"/>
                <w:szCs w:val="22"/>
              </w:rPr>
              <w:t>Visos šios priemonės nukreiptos į studentų iškritimo skaičiaus mažinimą.</w:t>
            </w:r>
            <w:r w:rsidR="0065614B" w:rsidRPr="00BD5FB4">
              <w:rPr>
                <w:sz w:val="22"/>
                <w:szCs w:val="22"/>
              </w:rPr>
              <w:t xml:space="preserve"> </w:t>
            </w:r>
          </w:p>
        </w:tc>
        <w:tc>
          <w:tcPr>
            <w:tcW w:w="717" w:type="pct"/>
            <w:vAlign w:val="center"/>
          </w:tcPr>
          <w:p w14:paraId="33843A6F" w14:textId="3E847349" w:rsidR="00456619" w:rsidRPr="00BD5FB4" w:rsidRDefault="00456619" w:rsidP="00E83E49">
            <w:pPr>
              <w:jc w:val="both"/>
              <w:rPr>
                <w:sz w:val="22"/>
                <w:szCs w:val="22"/>
              </w:rPr>
            </w:pPr>
          </w:p>
        </w:tc>
        <w:tc>
          <w:tcPr>
            <w:tcW w:w="907" w:type="pct"/>
          </w:tcPr>
          <w:p w14:paraId="72C28E63" w14:textId="1677999B" w:rsidR="008870D8" w:rsidRPr="00BD5FB4" w:rsidRDefault="008870D8" w:rsidP="00E83E49">
            <w:pPr>
              <w:pStyle w:val="CommentText"/>
              <w:spacing w:after="0"/>
              <w:jc w:val="both"/>
              <w:rPr>
                <w:rFonts w:cs="Times New Roman"/>
                <w:sz w:val="22"/>
                <w:szCs w:val="22"/>
              </w:rPr>
            </w:pPr>
          </w:p>
        </w:tc>
      </w:tr>
      <w:tr w:rsidR="00FA69C6" w:rsidRPr="00BD5FB4" w14:paraId="465A1687" w14:textId="77777777" w:rsidTr="00D44BDA">
        <w:trPr>
          <w:jc w:val="center"/>
        </w:trPr>
        <w:tc>
          <w:tcPr>
            <w:tcW w:w="901" w:type="pct"/>
          </w:tcPr>
          <w:p w14:paraId="6338A2DA" w14:textId="02B15B02" w:rsidR="00457025" w:rsidRPr="00BD5FB4" w:rsidRDefault="00457025" w:rsidP="00E83E49">
            <w:pPr>
              <w:jc w:val="both"/>
              <w:rPr>
                <w:sz w:val="22"/>
                <w:szCs w:val="22"/>
              </w:rPr>
            </w:pPr>
            <w:r w:rsidRPr="00BD5FB4">
              <w:rPr>
                <w:sz w:val="22"/>
                <w:szCs w:val="22"/>
              </w:rPr>
              <w:t>5.Dėstytojai</w:t>
            </w:r>
          </w:p>
          <w:p w14:paraId="0ECC6B07" w14:textId="77777777" w:rsidR="00457025" w:rsidRPr="00BD5FB4" w:rsidRDefault="00457025" w:rsidP="00E83E49">
            <w:pPr>
              <w:jc w:val="both"/>
              <w:rPr>
                <w:sz w:val="22"/>
                <w:szCs w:val="22"/>
              </w:rPr>
            </w:pPr>
          </w:p>
          <w:p w14:paraId="41B46B99" w14:textId="762421FB" w:rsidR="00457025" w:rsidRPr="00BD5FB4" w:rsidRDefault="00457025" w:rsidP="00E83E49">
            <w:pPr>
              <w:jc w:val="both"/>
              <w:rPr>
                <w:sz w:val="22"/>
                <w:szCs w:val="22"/>
              </w:rPr>
            </w:pPr>
          </w:p>
        </w:tc>
        <w:tc>
          <w:tcPr>
            <w:tcW w:w="1301" w:type="pct"/>
          </w:tcPr>
          <w:p w14:paraId="160FFAFC" w14:textId="77777777" w:rsidR="00457025" w:rsidRPr="00BD5FB4" w:rsidRDefault="00457025" w:rsidP="00E83E49">
            <w:pPr>
              <w:jc w:val="both"/>
              <w:rPr>
                <w:sz w:val="22"/>
                <w:szCs w:val="22"/>
              </w:rPr>
            </w:pPr>
            <w:r w:rsidRPr="00BD5FB4">
              <w:rPr>
                <w:sz w:val="22"/>
                <w:szCs w:val="22"/>
              </w:rPr>
              <w:t xml:space="preserve">Reikėtų įdarbinti daugiau dėstytojų, kurie galėtų dėstyti inžineriją ir pažangias temas (žiedinę </w:t>
            </w:r>
            <w:proofErr w:type="spellStart"/>
            <w:r w:rsidRPr="00BD5FB4">
              <w:rPr>
                <w:sz w:val="22"/>
                <w:szCs w:val="22"/>
              </w:rPr>
              <w:t>bioekonomiką</w:t>
            </w:r>
            <w:proofErr w:type="spellEnd"/>
            <w:r w:rsidRPr="00BD5FB4">
              <w:rPr>
                <w:sz w:val="22"/>
                <w:szCs w:val="22"/>
              </w:rPr>
              <w:t xml:space="preserve">, tvarumą, atliekų valorizaciją, biologinį perdirbimą, tvarumo vertinimą, sisteminę/sintetinę biologiją, medžiagų apykaitos inžineriją) ir vykdyti aktyvius mokslinius tyrimus šiose srityse. </w:t>
            </w:r>
          </w:p>
          <w:p w14:paraId="7E1C486B" w14:textId="77777777" w:rsidR="00457025" w:rsidRPr="00BD5FB4" w:rsidRDefault="00457025" w:rsidP="00E83E49">
            <w:pPr>
              <w:jc w:val="both"/>
              <w:rPr>
                <w:sz w:val="22"/>
                <w:szCs w:val="22"/>
              </w:rPr>
            </w:pPr>
          </w:p>
          <w:p w14:paraId="1E133DE3" w14:textId="77777777" w:rsidR="00457025" w:rsidRPr="00BD5FB4" w:rsidRDefault="00457025" w:rsidP="00E83E49">
            <w:pPr>
              <w:jc w:val="both"/>
              <w:rPr>
                <w:sz w:val="22"/>
                <w:szCs w:val="22"/>
              </w:rPr>
            </w:pPr>
            <w:r w:rsidRPr="00BD5FB4">
              <w:rPr>
                <w:sz w:val="22"/>
                <w:szCs w:val="22"/>
              </w:rPr>
              <w:t xml:space="preserve">Geriausiai besimokantiems antrosios programos pakopos studentams </w:t>
            </w:r>
            <w:r w:rsidRPr="00BD5FB4">
              <w:rPr>
                <w:sz w:val="22"/>
                <w:szCs w:val="22"/>
              </w:rPr>
              <w:lastRenderedPageBreak/>
              <w:t>turėtų būti pasiūlyta doktorantūros programa su patrauklia stipendijų sistema, kad galiausiai jie galėtų įsidarbinti dėstytojais.</w:t>
            </w:r>
          </w:p>
          <w:p w14:paraId="4190A2E6" w14:textId="26EABBDF" w:rsidR="00457025" w:rsidRPr="00BD5FB4" w:rsidRDefault="00457025" w:rsidP="00E83E49">
            <w:pPr>
              <w:jc w:val="both"/>
              <w:rPr>
                <w:sz w:val="22"/>
                <w:szCs w:val="22"/>
              </w:rPr>
            </w:pPr>
          </w:p>
        </w:tc>
        <w:tc>
          <w:tcPr>
            <w:tcW w:w="1173" w:type="pct"/>
          </w:tcPr>
          <w:p w14:paraId="0AFDA880" w14:textId="7BAE3CA6" w:rsidR="00457025" w:rsidRPr="00BD5FB4" w:rsidRDefault="00DC300E" w:rsidP="00E83E49">
            <w:pPr>
              <w:jc w:val="both"/>
              <w:rPr>
                <w:sz w:val="22"/>
                <w:szCs w:val="22"/>
              </w:rPr>
            </w:pPr>
            <w:r w:rsidRPr="00BD5FB4">
              <w:rPr>
                <w:sz w:val="22"/>
                <w:szCs w:val="22"/>
              </w:rPr>
              <w:lastRenderedPageBreak/>
              <w:t xml:space="preserve">VILNIUS TECH </w:t>
            </w:r>
            <w:r w:rsidR="00457025" w:rsidRPr="00BD5FB4">
              <w:rPr>
                <w:sz w:val="22"/>
                <w:szCs w:val="22"/>
              </w:rPr>
              <w:t xml:space="preserve">universitete įkurtas Tvarumo centras ir sukurti atitinkami moduliai, </w:t>
            </w:r>
          </w:p>
          <w:p w14:paraId="6D923139" w14:textId="241C683F" w:rsidR="00457025" w:rsidRPr="00BD5FB4" w:rsidRDefault="00457025" w:rsidP="00E83E49">
            <w:pPr>
              <w:jc w:val="both"/>
              <w:rPr>
                <w:sz w:val="22"/>
                <w:szCs w:val="22"/>
              </w:rPr>
            </w:pPr>
            <w:r w:rsidRPr="00BD5FB4">
              <w:rPr>
                <w:sz w:val="22"/>
                <w:szCs w:val="22"/>
              </w:rPr>
              <w:t xml:space="preserve">kuriuos ruošiant dalyvavo katedros dėstytojai. Juose yra kalbama apie (žiedinę </w:t>
            </w:r>
            <w:proofErr w:type="spellStart"/>
            <w:r w:rsidRPr="00BD5FB4">
              <w:rPr>
                <w:sz w:val="22"/>
                <w:szCs w:val="22"/>
              </w:rPr>
              <w:t>bioekonomiką</w:t>
            </w:r>
            <w:proofErr w:type="spellEnd"/>
            <w:r w:rsidRPr="00BD5FB4">
              <w:rPr>
                <w:sz w:val="22"/>
                <w:szCs w:val="22"/>
              </w:rPr>
              <w:t xml:space="preserve">, tvarumą, atliekų valorizaciją, biologinį perdirbimą). Tikimasi, kad modulius galės pasirinkti visų universiteto specialybių (tarp jų ir biotechnologijų krypties) studentai. </w:t>
            </w:r>
          </w:p>
          <w:p w14:paraId="2A2C4F1E" w14:textId="77777777" w:rsidR="00457025" w:rsidRPr="00BD5FB4" w:rsidRDefault="00457025" w:rsidP="00E83E49">
            <w:pPr>
              <w:jc w:val="both"/>
              <w:rPr>
                <w:sz w:val="22"/>
                <w:szCs w:val="22"/>
              </w:rPr>
            </w:pPr>
          </w:p>
          <w:p w14:paraId="4035F9DC" w14:textId="76422184" w:rsidR="00457025" w:rsidRPr="00BD5FB4" w:rsidRDefault="00457025" w:rsidP="00E83E49">
            <w:pPr>
              <w:jc w:val="both"/>
              <w:rPr>
                <w:sz w:val="22"/>
                <w:szCs w:val="22"/>
              </w:rPr>
            </w:pPr>
            <w:r w:rsidRPr="00BD5FB4">
              <w:rPr>
                <w:sz w:val="22"/>
                <w:szCs w:val="22"/>
              </w:rPr>
              <w:t xml:space="preserve">Šie dalykai taip pat jau yra dėstomi </w:t>
            </w:r>
            <w:r w:rsidR="00772180" w:rsidRPr="00BD5FB4">
              <w:rPr>
                <w:sz w:val="22"/>
                <w:szCs w:val="22"/>
              </w:rPr>
              <w:t xml:space="preserve">bakalauro studijų studentams </w:t>
            </w:r>
            <w:r w:rsidRPr="00BD5FB4">
              <w:rPr>
                <w:sz w:val="22"/>
                <w:szCs w:val="22"/>
              </w:rPr>
              <w:t>„</w:t>
            </w:r>
            <w:r w:rsidR="00772180" w:rsidRPr="00BD5FB4">
              <w:rPr>
                <w:sz w:val="22"/>
                <w:szCs w:val="22"/>
              </w:rPr>
              <w:t>Aplinkos</w:t>
            </w:r>
            <w:r w:rsidRPr="00BD5FB4">
              <w:rPr>
                <w:sz w:val="22"/>
                <w:szCs w:val="22"/>
              </w:rPr>
              <w:t xml:space="preserve"> biotechnologijos“ kurse bei katedroje vykdomi šios srities tyrimai.</w:t>
            </w:r>
          </w:p>
          <w:p w14:paraId="620CC66E" w14:textId="14911981" w:rsidR="00772180" w:rsidRPr="00BD5FB4" w:rsidRDefault="00600E6E" w:rsidP="00E83E49">
            <w:pPr>
              <w:jc w:val="both"/>
              <w:rPr>
                <w:sz w:val="22"/>
                <w:szCs w:val="22"/>
              </w:rPr>
            </w:pPr>
            <w:r w:rsidRPr="00BD5FB4">
              <w:rPr>
                <w:sz w:val="22"/>
                <w:szCs w:val="22"/>
              </w:rPr>
              <w:t xml:space="preserve">Įdarbintas dėstytojas su inžineriniu išsilavinimu dėstyti </w:t>
            </w:r>
            <w:r w:rsidR="00745528" w:rsidRPr="00BD5FB4">
              <w:rPr>
                <w:sz w:val="22"/>
                <w:szCs w:val="22"/>
              </w:rPr>
              <w:t xml:space="preserve">bakalauro kursą „Biochemijos inžinerija ir biotechnologija“ bei magistro kursą “Biocheminė inžinerija“.  </w:t>
            </w:r>
          </w:p>
          <w:p w14:paraId="74A99581" w14:textId="77777777" w:rsidR="00772180" w:rsidRPr="00BD5FB4" w:rsidRDefault="00772180" w:rsidP="00E83E49">
            <w:pPr>
              <w:jc w:val="both"/>
              <w:rPr>
                <w:sz w:val="22"/>
                <w:szCs w:val="22"/>
              </w:rPr>
            </w:pPr>
          </w:p>
          <w:p w14:paraId="71BF5213" w14:textId="712573D7" w:rsidR="00457025" w:rsidRPr="00BD5FB4" w:rsidRDefault="00772180" w:rsidP="00E83E49">
            <w:pPr>
              <w:jc w:val="both"/>
              <w:rPr>
                <w:sz w:val="22"/>
                <w:szCs w:val="22"/>
              </w:rPr>
            </w:pPr>
            <w:r w:rsidRPr="00BD5FB4">
              <w:rPr>
                <w:sz w:val="22"/>
                <w:szCs w:val="22"/>
              </w:rPr>
              <w:t xml:space="preserve">Magistro </w:t>
            </w:r>
            <w:r w:rsidR="00457025" w:rsidRPr="00BD5FB4">
              <w:rPr>
                <w:sz w:val="22"/>
                <w:szCs w:val="22"/>
              </w:rPr>
              <w:t xml:space="preserve"> bioinžinerijos program</w:t>
            </w:r>
            <w:r w:rsidRPr="00BD5FB4">
              <w:rPr>
                <w:sz w:val="22"/>
                <w:szCs w:val="22"/>
              </w:rPr>
              <w:t xml:space="preserve">oje įvestas privalomas kursas „Sistemų ir sintetinė metabolizmo inžinerija“. Vykdomi moksliniai tyrimai šioje </w:t>
            </w:r>
            <w:r w:rsidR="00457025" w:rsidRPr="00BD5FB4">
              <w:rPr>
                <w:sz w:val="22"/>
                <w:szCs w:val="22"/>
              </w:rPr>
              <w:t xml:space="preserve">srityje. </w:t>
            </w:r>
          </w:p>
          <w:p w14:paraId="53BC84FC" w14:textId="77777777" w:rsidR="00457025" w:rsidRPr="00BD5FB4" w:rsidRDefault="00457025" w:rsidP="00E83E49">
            <w:pPr>
              <w:jc w:val="both"/>
              <w:rPr>
                <w:sz w:val="22"/>
                <w:szCs w:val="22"/>
              </w:rPr>
            </w:pPr>
          </w:p>
          <w:p w14:paraId="0246888C" w14:textId="28EE863F" w:rsidR="00457025" w:rsidRPr="00BD5FB4" w:rsidRDefault="00457025" w:rsidP="00E83E49">
            <w:pPr>
              <w:jc w:val="both"/>
              <w:rPr>
                <w:sz w:val="22"/>
                <w:szCs w:val="22"/>
              </w:rPr>
            </w:pPr>
            <w:r w:rsidRPr="00BD5FB4">
              <w:rPr>
                <w:sz w:val="22"/>
                <w:szCs w:val="22"/>
              </w:rPr>
              <w:t>Vykdomos doktorantūros studijos gretutinėse mokslo srityse</w:t>
            </w:r>
            <w:r w:rsidR="00772180" w:rsidRPr="00BD5FB4">
              <w:rPr>
                <w:sz w:val="22"/>
                <w:szCs w:val="22"/>
              </w:rPr>
              <w:t xml:space="preserve">. Dvi doktorantės apsigynė disertacijas 2022 ir 2025 m. Jos yra/bus įdarbintos dėstytojomis pilnu etatu. </w:t>
            </w:r>
            <w:r w:rsidRPr="00BD5FB4">
              <w:rPr>
                <w:sz w:val="22"/>
                <w:szCs w:val="22"/>
              </w:rPr>
              <w:t xml:space="preserve"> </w:t>
            </w:r>
            <w:r w:rsidR="00772180" w:rsidRPr="00BD5FB4">
              <w:rPr>
                <w:sz w:val="22"/>
                <w:szCs w:val="22"/>
              </w:rPr>
              <w:t>Planuojama pateikti paraišką</w:t>
            </w:r>
            <w:r w:rsidRPr="00BD5FB4">
              <w:rPr>
                <w:sz w:val="22"/>
                <w:szCs w:val="22"/>
              </w:rPr>
              <w:t xml:space="preserve"> doktorantūros studijo</w:t>
            </w:r>
            <w:r w:rsidR="00772180" w:rsidRPr="00BD5FB4">
              <w:rPr>
                <w:sz w:val="22"/>
                <w:szCs w:val="22"/>
              </w:rPr>
              <w:t>m</w:t>
            </w:r>
            <w:r w:rsidRPr="00BD5FB4">
              <w:rPr>
                <w:sz w:val="22"/>
                <w:szCs w:val="22"/>
              </w:rPr>
              <w:t xml:space="preserve">s biotechnologijos (chemijos inžinerijos) mokslo kryptyje. </w:t>
            </w:r>
            <w:r w:rsidR="00772180" w:rsidRPr="00BD5FB4">
              <w:rPr>
                <w:sz w:val="22"/>
                <w:szCs w:val="22"/>
              </w:rPr>
              <w:t xml:space="preserve">Tam tikslui rastas parneris ir su juo pasirašytas tarpusavio supratimo </w:t>
            </w:r>
            <w:r w:rsidR="00745528" w:rsidRPr="00BD5FB4">
              <w:rPr>
                <w:sz w:val="22"/>
                <w:szCs w:val="22"/>
              </w:rPr>
              <w:t>memorandumas</w:t>
            </w:r>
            <w:r w:rsidR="00600E6E" w:rsidRPr="00BD5FB4">
              <w:rPr>
                <w:sz w:val="22"/>
                <w:szCs w:val="22"/>
              </w:rPr>
              <w:t>, pradėta rengti paraiška</w:t>
            </w:r>
            <w:r w:rsidR="00772180" w:rsidRPr="00BD5FB4">
              <w:rPr>
                <w:sz w:val="22"/>
                <w:szCs w:val="22"/>
              </w:rPr>
              <w:t xml:space="preserve">. </w:t>
            </w:r>
          </w:p>
          <w:p w14:paraId="66F123E5" w14:textId="77777777" w:rsidR="00457025" w:rsidRPr="00BD5FB4" w:rsidRDefault="00457025" w:rsidP="00E83E49">
            <w:pPr>
              <w:jc w:val="both"/>
              <w:rPr>
                <w:sz w:val="22"/>
                <w:szCs w:val="22"/>
              </w:rPr>
            </w:pPr>
          </w:p>
          <w:p w14:paraId="4BFAFB82" w14:textId="77777777" w:rsidR="00457025" w:rsidRPr="00BD5FB4" w:rsidRDefault="00457025" w:rsidP="00E83E49">
            <w:pPr>
              <w:jc w:val="both"/>
              <w:rPr>
                <w:i/>
                <w:sz w:val="22"/>
                <w:szCs w:val="22"/>
              </w:rPr>
            </w:pPr>
            <w:r w:rsidRPr="00BD5FB4">
              <w:rPr>
                <w:sz w:val="22"/>
                <w:szCs w:val="22"/>
              </w:rPr>
              <w:t xml:space="preserve">Dėstytojai skatinami dalyvauti mobilumo Erasmus+ programoje. Universitete organizuojami anglų </w:t>
            </w:r>
            <w:r w:rsidRPr="00BD5FB4">
              <w:rPr>
                <w:sz w:val="22"/>
                <w:szCs w:val="22"/>
              </w:rPr>
              <w:lastRenderedPageBreak/>
              <w:t xml:space="preserve">kalbos ir kiti kvalifikacijos tobulinimo kursai. Taip dėstytojai gali patys ieškoti ne Universitete dėstomų dalykinių kompetencijų kursų, kuriuos Universitetas (dalinai) apmoka. </w:t>
            </w:r>
          </w:p>
          <w:p w14:paraId="768F899B" w14:textId="77777777" w:rsidR="00457025" w:rsidRPr="00BD5FB4" w:rsidRDefault="00457025" w:rsidP="00E83E49">
            <w:pPr>
              <w:jc w:val="both"/>
              <w:rPr>
                <w:sz w:val="22"/>
                <w:szCs w:val="22"/>
              </w:rPr>
            </w:pPr>
          </w:p>
          <w:p w14:paraId="7B9F0846" w14:textId="77777777" w:rsidR="00457025" w:rsidRPr="00BD5FB4" w:rsidRDefault="00457025" w:rsidP="00E83E49">
            <w:pPr>
              <w:jc w:val="both"/>
              <w:rPr>
                <w:sz w:val="22"/>
                <w:szCs w:val="22"/>
              </w:rPr>
            </w:pPr>
            <w:proofErr w:type="spellStart"/>
            <w:r w:rsidRPr="00BD5FB4">
              <w:rPr>
                <w:sz w:val="22"/>
                <w:szCs w:val="22"/>
              </w:rPr>
              <w:t>Edukologinių</w:t>
            </w:r>
            <w:proofErr w:type="spellEnd"/>
            <w:r w:rsidRPr="00BD5FB4">
              <w:rPr>
                <w:sz w:val="22"/>
                <w:szCs w:val="22"/>
              </w:rPr>
              <w:t xml:space="preserve"> kompetencijų tobulinimas yra privalomas visiems dėstytojams. </w:t>
            </w:r>
          </w:p>
          <w:p w14:paraId="64C634FC" w14:textId="218C8583" w:rsidR="00457025" w:rsidRPr="00BD5FB4" w:rsidRDefault="00457025" w:rsidP="00E83E49">
            <w:pPr>
              <w:jc w:val="both"/>
              <w:rPr>
                <w:sz w:val="22"/>
                <w:szCs w:val="22"/>
              </w:rPr>
            </w:pPr>
          </w:p>
        </w:tc>
        <w:tc>
          <w:tcPr>
            <w:tcW w:w="717" w:type="pct"/>
            <w:vAlign w:val="center"/>
          </w:tcPr>
          <w:p w14:paraId="22EB82D0" w14:textId="09010633" w:rsidR="00457025" w:rsidRPr="00BD5FB4" w:rsidRDefault="00457025" w:rsidP="00E83E49">
            <w:pPr>
              <w:jc w:val="both"/>
              <w:rPr>
                <w:sz w:val="22"/>
                <w:szCs w:val="22"/>
              </w:rPr>
            </w:pPr>
          </w:p>
        </w:tc>
        <w:tc>
          <w:tcPr>
            <w:tcW w:w="907" w:type="pct"/>
          </w:tcPr>
          <w:p w14:paraId="4006222E" w14:textId="054C8676" w:rsidR="00457025" w:rsidRPr="00BD5FB4" w:rsidRDefault="00457025" w:rsidP="00E83E49">
            <w:pPr>
              <w:jc w:val="both"/>
              <w:rPr>
                <w:sz w:val="22"/>
                <w:szCs w:val="22"/>
              </w:rPr>
            </w:pPr>
          </w:p>
        </w:tc>
      </w:tr>
      <w:tr w:rsidR="00FA69C6" w:rsidRPr="00BD5FB4" w14:paraId="60A2B9D8" w14:textId="77777777" w:rsidTr="00D44BDA">
        <w:trPr>
          <w:jc w:val="center"/>
        </w:trPr>
        <w:tc>
          <w:tcPr>
            <w:tcW w:w="901" w:type="pct"/>
          </w:tcPr>
          <w:p w14:paraId="07F2C0BE" w14:textId="77777777" w:rsidR="00457025" w:rsidRPr="00BD5FB4" w:rsidRDefault="00457025" w:rsidP="00E83E49">
            <w:pPr>
              <w:jc w:val="both"/>
              <w:rPr>
                <w:sz w:val="22"/>
                <w:szCs w:val="22"/>
              </w:rPr>
            </w:pPr>
            <w:r w:rsidRPr="00BD5FB4">
              <w:rPr>
                <w:sz w:val="22"/>
                <w:szCs w:val="22"/>
              </w:rPr>
              <w:lastRenderedPageBreak/>
              <w:t>6. Studijų materialieji ištekliai</w:t>
            </w:r>
          </w:p>
          <w:p w14:paraId="06D8E024" w14:textId="77777777" w:rsidR="00457025" w:rsidRPr="00BD5FB4" w:rsidRDefault="00457025" w:rsidP="00E83E49">
            <w:pPr>
              <w:jc w:val="both"/>
              <w:rPr>
                <w:sz w:val="22"/>
                <w:szCs w:val="22"/>
              </w:rPr>
            </w:pPr>
          </w:p>
          <w:p w14:paraId="091F0E64" w14:textId="0153D3D8" w:rsidR="00457025" w:rsidRPr="00BD5FB4" w:rsidRDefault="00457025" w:rsidP="00E83E49">
            <w:pPr>
              <w:jc w:val="both"/>
              <w:rPr>
                <w:sz w:val="22"/>
                <w:szCs w:val="22"/>
              </w:rPr>
            </w:pPr>
          </w:p>
        </w:tc>
        <w:tc>
          <w:tcPr>
            <w:tcW w:w="1301" w:type="pct"/>
          </w:tcPr>
          <w:p w14:paraId="0777C189" w14:textId="6C545E05" w:rsidR="00457025" w:rsidRPr="00BD5FB4" w:rsidRDefault="00457025" w:rsidP="00E83E49">
            <w:pPr>
              <w:jc w:val="both"/>
              <w:rPr>
                <w:sz w:val="22"/>
                <w:szCs w:val="22"/>
              </w:rPr>
            </w:pPr>
            <w:r w:rsidRPr="00BD5FB4">
              <w:rPr>
                <w:sz w:val="22"/>
                <w:szCs w:val="22"/>
              </w:rPr>
              <w:t xml:space="preserve">Reikia sukurti stiprias laboratorijas fermentacijos, technologijų, tolesnio perdirbimo, sintetinės ir sisteminės biologijos srityse. </w:t>
            </w:r>
            <w:r w:rsidR="00BE2606" w:rsidRPr="00BD5FB4">
              <w:rPr>
                <w:sz w:val="22"/>
                <w:szCs w:val="22"/>
              </w:rPr>
              <w:t xml:space="preserve">VILNIAUS TECH </w:t>
            </w:r>
            <w:r w:rsidRPr="00BD5FB4">
              <w:rPr>
                <w:sz w:val="22"/>
                <w:szCs w:val="22"/>
              </w:rPr>
              <w:t>universitetas turėtų sukurti tam tikrą mechanizmą, kuris leistų reguliariai skirti lėšų renovacijai, išteklių modernizavimui / atnaujinimui, techninių specialistų samdymui ir įrangos įsigijimui, o tai šiuo metu daugiausia priklauso nuo finansuojamų projektų.</w:t>
            </w:r>
          </w:p>
        </w:tc>
        <w:tc>
          <w:tcPr>
            <w:tcW w:w="1173" w:type="pct"/>
          </w:tcPr>
          <w:p w14:paraId="33F58448" w14:textId="4A0DA1E2" w:rsidR="00FA69C6" w:rsidRPr="00BD5FB4" w:rsidRDefault="00FA69C6" w:rsidP="00E83E49">
            <w:pPr>
              <w:jc w:val="both"/>
              <w:rPr>
                <w:sz w:val="22"/>
                <w:szCs w:val="22"/>
              </w:rPr>
            </w:pPr>
            <w:r w:rsidRPr="00BD5FB4">
              <w:rPr>
                <w:sz w:val="22"/>
                <w:szCs w:val="22"/>
              </w:rPr>
              <w:t>Šiuo metu vykdomi LMT finansuojami tyrimai metabolizmo/</w:t>
            </w:r>
            <w:proofErr w:type="spellStart"/>
            <w:r w:rsidRPr="00BD5FB4">
              <w:rPr>
                <w:sz w:val="22"/>
                <w:szCs w:val="22"/>
              </w:rPr>
              <w:t>metabolinės</w:t>
            </w:r>
            <w:proofErr w:type="spellEnd"/>
            <w:r w:rsidRPr="00BD5FB4">
              <w:rPr>
                <w:sz w:val="22"/>
                <w:szCs w:val="22"/>
              </w:rPr>
              <w:t xml:space="preserve"> inžinerijos srityse. </w:t>
            </w:r>
          </w:p>
          <w:p w14:paraId="6CE08410" w14:textId="707E3E99" w:rsidR="00FA69C6" w:rsidRPr="00BD5FB4" w:rsidRDefault="00BE2606" w:rsidP="00E83E49">
            <w:pPr>
              <w:jc w:val="both"/>
              <w:rPr>
                <w:sz w:val="22"/>
                <w:szCs w:val="22"/>
              </w:rPr>
            </w:pPr>
            <w:r w:rsidRPr="00BD5FB4">
              <w:rPr>
                <w:sz w:val="22"/>
                <w:szCs w:val="22"/>
              </w:rPr>
              <w:t xml:space="preserve">VILNIUS TECH </w:t>
            </w:r>
            <w:r w:rsidR="00FA69C6" w:rsidRPr="00BD5FB4">
              <w:rPr>
                <w:sz w:val="22"/>
                <w:szCs w:val="22"/>
              </w:rPr>
              <w:t xml:space="preserve">periodiškai skiria lėšas fakultetams </w:t>
            </w:r>
            <w:r w:rsidR="00600E6E" w:rsidRPr="00BD5FB4">
              <w:rPr>
                <w:sz w:val="22"/>
                <w:szCs w:val="22"/>
              </w:rPr>
              <w:t xml:space="preserve">smulkios ir vidutinio dydžio </w:t>
            </w:r>
            <w:r w:rsidR="00FA69C6" w:rsidRPr="00BD5FB4">
              <w:rPr>
                <w:sz w:val="22"/>
                <w:szCs w:val="22"/>
              </w:rPr>
              <w:t xml:space="preserve">laboratorinės įrangos atnaujinimui. Planuojamas </w:t>
            </w:r>
            <w:r w:rsidR="00600E6E" w:rsidRPr="00BD5FB4">
              <w:rPr>
                <w:sz w:val="22"/>
                <w:szCs w:val="22"/>
              </w:rPr>
              <w:t xml:space="preserve">kapitalinis pastato, kuriame vykdoma studijų programa bei atitinkami tyrimai, atnaujinimas. Jo metu </w:t>
            </w:r>
            <w:r w:rsidR="00745528" w:rsidRPr="00BD5FB4">
              <w:rPr>
                <w:sz w:val="22"/>
                <w:szCs w:val="22"/>
              </w:rPr>
              <w:t>planuojama</w:t>
            </w:r>
            <w:r w:rsidR="00600E6E" w:rsidRPr="00BD5FB4">
              <w:rPr>
                <w:sz w:val="22"/>
                <w:szCs w:val="22"/>
              </w:rPr>
              <w:t xml:space="preserve"> atnaujinti ir laboratorijas (traukos spintas, </w:t>
            </w:r>
            <w:proofErr w:type="spellStart"/>
            <w:r w:rsidR="00600E6E" w:rsidRPr="00BD5FB4">
              <w:rPr>
                <w:sz w:val="22"/>
                <w:szCs w:val="22"/>
              </w:rPr>
              <w:t>lab</w:t>
            </w:r>
            <w:proofErr w:type="spellEnd"/>
            <w:r w:rsidR="00600E6E" w:rsidRPr="00BD5FB4">
              <w:rPr>
                <w:sz w:val="22"/>
                <w:szCs w:val="22"/>
              </w:rPr>
              <w:t xml:space="preserve">. stalus bei kitas darbo vietas ir pan.). </w:t>
            </w:r>
            <w:r w:rsidR="00FA69C6" w:rsidRPr="00BD5FB4">
              <w:rPr>
                <w:sz w:val="22"/>
                <w:szCs w:val="22"/>
              </w:rPr>
              <w:t>Laborantų (techninių specialistų)</w:t>
            </w:r>
            <w:r w:rsidR="00745528" w:rsidRPr="00BD5FB4">
              <w:rPr>
                <w:sz w:val="22"/>
                <w:szCs w:val="22"/>
              </w:rPr>
              <w:t xml:space="preserve"> </w:t>
            </w:r>
            <w:r w:rsidR="00FA69C6" w:rsidRPr="00BD5FB4">
              <w:rPr>
                <w:sz w:val="22"/>
                <w:szCs w:val="22"/>
              </w:rPr>
              <w:t xml:space="preserve">skaičius studijų krypties laboratorijose šiuo metu yra pakankamas.  </w:t>
            </w:r>
          </w:p>
          <w:p w14:paraId="184868E2" w14:textId="3664DB68" w:rsidR="00457025" w:rsidRPr="00BD5FB4" w:rsidRDefault="00457025" w:rsidP="00E83E49">
            <w:pPr>
              <w:jc w:val="both"/>
              <w:rPr>
                <w:sz w:val="22"/>
                <w:szCs w:val="22"/>
              </w:rPr>
            </w:pPr>
          </w:p>
        </w:tc>
        <w:tc>
          <w:tcPr>
            <w:tcW w:w="717" w:type="pct"/>
            <w:vAlign w:val="center"/>
          </w:tcPr>
          <w:p w14:paraId="3FFF41E2" w14:textId="23F81DA8" w:rsidR="00600E6E" w:rsidRPr="00BD5FB4" w:rsidRDefault="00600E6E" w:rsidP="00E83E49">
            <w:pPr>
              <w:jc w:val="both"/>
              <w:rPr>
                <w:sz w:val="22"/>
                <w:szCs w:val="22"/>
              </w:rPr>
            </w:pPr>
            <w:r w:rsidRPr="00BD5FB4">
              <w:rPr>
                <w:sz w:val="22"/>
                <w:szCs w:val="22"/>
              </w:rPr>
              <w:t xml:space="preserve">Planuojama atnaujinti pastatą ir laboratorijas per 2025-2026 </w:t>
            </w:r>
            <w:proofErr w:type="spellStart"/>
            <w:r w:rsidRPr="00BD5FB4">
              <w:rPr>
                <w:sz w:val="22"/>
                <w:szCs w:val="22"/>
              </w:rPr>
              <w:t>m.m</w:t>
            </w:r>
            <w:proofErr w:type="spellEnd"/>
            <w:r w:rsidRPr="00BD5FB4">
              <w:rPr>
                <w:sz w:val="22"/>
                <w:szCs w:val="22"/>
              </w:rPr>
              <w:t xml:space="preserve">. </w:t>
            </w:r>
          </w:p>
          <w:p w14:paraId="2CEC5DDA" w14:textId="16362637" w:rsidR="00457025" w:rsidRPr="00BD5FB4" w:rsidRDefault="00457025" w:rsidP="00E83E49">
            <w:pPr>
              <w:jc w:val="both"/>
              <w:rPr>
                <w:sz w:val="22"/>
                <w:szCs w:val="22"/>
              </w:rPr>
            </w:pPr>
          </w:p>
        </w:tc>
        <w:tc>
          <w:tcPr>
            <w:tcW w:w="907" w:type="pct"/>
          </w:tcPr>
          <w:p w14:paraId="02D92D12" w14:textId="77777777" w:rsidR="00457025" w:rsidRPr="00BD5FB4" w:rsidRDefault="00457025" w:rsidP="00E83E49">
            <w:pPr>
              <w:jc w:val="both"/>
              <w:rPr>
                <w:sz w:val="22"/>
                <w:szCs w:val="22"/>
              </w:rPr>
            </w:pPr>
          </w:p>
        </w:tc>
      </w:tr>
      <w:tr w:rsidR="00FA69C6" w:rsidRPr="00BD5FB4" w14:paraId="0A496B44" w14:textId="77777777" w:rsidTr="00D44BDA">
        <w:trPr>
          <w:jc w:val="center"/>
        </w:trPr>
        <w:tc>
          <w:tcPr>
            <w:tcW w:w="901" w:type="pct"/>
          </w:tcPr>
          <w:p w14:paraId="432ABA81" w14:textId="77777777" w:rsidR="00457025" w:rsidRPr="00BD5FB4" w:rsidRDefault="00457025" w:rsidP="00E83E49">
            <w:pPr>
              <w:jc w:val="both"/>
              <w:rPr>
                <w:sz w:val="22"/>
                <w:szCs w:val="22"/>
              </w:rPr>
            </w:pPr>
            <w:r w:rsidRPr="00BD5FB4">
              <w:rPr>
                <w:sz w:val="22"/>
                <w:szCs w:val="22"/>
              </w:rPr>
              <w:t>7. Studijų kokybės valdymas ir viešinimas</w:t>
            </w:r>
          </w:p>
          <w:p w14:paraId="5941B623" w14:textId="77777777" w:rsidR="00457025" w:rsidRPr="00BD5FB4" w:rsidRDefault="00457025" w:rsidP="00E83E49">
            <w:pPr>
              <w:jc w:val="both"/>
              <w:rPr>
                <w:sz w:val="22"/>
                <w:szCs w:val="22"/>
              </w:rPr>
            </w:pPr>
          </w:p>
          <w:p w14:paraId="5DC0770D" w14:textId="5DB6A6D2" w:rsidR="00457025" w:rsidRPr="00BD5FB4" w:rsidRDefault="00457025" w:rsidP="00E83E49">
            <w:pPr>
              <w:jc w:val="both"/>
              <w:rPr>
                <w:sz w:val="22"/>
                <w:szCs w:val="22"/>
              </w:rPr>
            </w:pPr>
          </w:p>
        </w:tc>
        <w:tc>
          <w:tcPr>
            <w:tcW w:w="1301" w:type="pct"/>
          </w:tcPr>
          <w:p w14:paraId="3BA40790" w14:textId="1B68A784" w:rsidR="00457025" w:rsidRPr="00BD5FB4" w:rsidRDefault="00457025" w:rsidP="00E83E49">
            <w:pPr>
              <w:jc w:val="both"/>
              <w:rPr>
                <w:sz w:val="22"/>
                <w:szCs w:val="22"/>
              </w:rPr>
            </w:pPr>
            <w:r w:rsidRPr="00BD5FB4">
              <w:rPr>
                <w:sz w:val="22"/>
                <w:szCs w:val="22"/>
              </w:rPr>
              <w:t xml:space="preserve">Katedros lygmeniu inicijuoti periodines (pvz., kartą per metus) kokybės užtikrinimo diskusijas, kuriose katedros vedėjas kartu su programos komiteto nariais, studentų atstovais ir socialiniais partneriais </w:t>
            </w:r>
            <w:r w:rsidRPr="00BD5FB4">
              <w:rPr>
                <w:sz w:val="22"/>
                <w:szCs w:val="22"/>
              </w:rPr>
              <w:lastRenderedPageBreak/>
              <w:t>galėtų aptarti studijų kokybei svarbius klausimus.</w:t>
            </w:r>
          </w:p>
        </w:tc>
        <w:tc>
          <w:tcPr>
            <w:tcW w:w="1173" w:type="pct"/>
          </w:tcPr>
          <w:p w14:paraId="34F586FF" w14:textId="6F235C72" w:rsidR="00457025" w:rsidRPr="00BD5FB4" w:rsidRDefault="00FA69C6" w:rsidP="00E83E49">
            <w:pPr>
              <w:jc w:val="both"/>
              <w:rPr>
                <w:sz w:val="22"/>
                <w:szCs w:val="22"/>
                <w:lang w:val="en-US"/>
              </w:rPr>
            </w:pPr>
            <w:r w:rsidRPr="00BD5FB4">
              <w:rPr>
                <w:sz w:val="22"/>
                <w:szCs w:val="22"/>
              </w:rPr>
              <w:lastRenderedPageBreak/>
              <w:t>Periodiškai vyksta susitikimai su soc</w:t>
            </w:r>
            <w:r w:rsidR="00BE2606" w:rsidRPr="00BD5FB4">
              <w:rPr>
                <w:sz w:val="22"/>
                <w:szCs w:val="22"/>
              </w:rPr>
              <w:t>ialiniais</w:t>
            </w:r>
            <w:r w:rsidRPr="00BD5FB4">
              <w:rPr>
                <w:sz w:val="22"/>
                <w:szCs w:val="22"/>
              </w:rPr>
              <w:t xml:space="preserve"> partneriais ir alumnais darbdavių mugėse bei socialiniuose renginiuose. Socialiniai partneriai yra įtraukti į </w:t>
            </w:r>
            <w:r w:rsidR="00BE2606" w:rsidRPr="00BD5FB4">
              <w:rPr>
                <w:sz w:val="22"/>
                <w:szCs w:val="22"/>
              </w:rPr>
              <w:t xml:space="preserve">Studijų programų </w:t>
            </w:r>
            <w:proofErr w:type="spellStart"/>
            <w:r w:rsidR="00BE2606" w:rsidRPr="00BD5FB4">
              <w:rPr>
                <w:sz w:val="22"/>
                <w:szCs w:val="22"/>
              </w:rPr>
              <w:t>komitetetu</w:t>
            </w:r>
            <w:r w:rsidR="007A48F0" w:rsidRPr="00BD5FB4">
              <w:rPr>
                <w:sz w:val="22"/>
                <w:szCs w:val="22"/>
              </w:rPr>
              <w:t>s</w:t>
            </w:r>
            <w:proofErr w:type="spellEnd"/>
            <w:r w:rsidR="00BE2606" w:rsidRPr="00BD5FB4">
              <w:rPr>
                <w:sz w:val="22"/>
                <w:szCs w:val="22"/>
              </w:rPr>
              <w:t xml:space="preserve"> </w:t>
            </w:r>
            <w:r w:rsidR="00BE2606" w:rsidRPr="00BD5FB4">
              <w:rPr>
                <w:sz w:val="22"/>
                <w:szCs w:val="22"/>
              </w:rPr>
              <w:lastRenderedPageBreak/>
              <w:t>(SPK)</w:t>
            </w:r>
            <w:r w:rsidRPr="00BD5FB4">
              <w:rPr>
                <w:sz w:val="22"/>
                <w:szCs w:val="22"/>
                <w:lang w:val="en-US"/>
              </w:rPr>
              <w:t xml:space="preserve"> </w:t>
            </w:r>
            <w:proofErr w:type="spellStart"/>
            <w:r w:rsidRPr="00BD5FB4">
              <w:rPr>
                <w:sz w:val="22"/>
                <w:szCs w:val="22"/>
                <w:lang w:val="en-US"/>
              </w:rPr>
              <w:t>narius</w:t>
            </w:r>
            <w:proofErr w:type="spellEnd"/>
            <w:r w:rsidRPr="00BD5FB4">
              <w:rPr>
                <w:sz w:val="22"/>
                <w:szCs w:val="22"/>
                <w:lang w:val="en-US"/>
              </w:rPr>
              <w:t xml:space="preserve">. </w:t>
            </w:r>
            <w:proofErr w:type="spellStart"/>
            <w:r w:rsidRPr="00BD5FB4">
              <w:rPr>
                <w:sz w:val="22"/>
                <w:szCs w:val="22"/>
                <w:lang w:val="en-US"/>
              </w:rPr>
              <w:t>Periodiškai</w:t>
            </w:r>
            <w:proofErr w:type="spellEnd"/>
            <w:r w:rsidRPr="00BD5FB4">
              <w:rPr>
                <w:sz w:val="22"/>
                <w:szCs w:val="22"/>
                <w:lang w:val="en-US"/>
              </w:rPr>
              <w:t xml:space="preserve"> SPK (</w:t>
            </w:r>
            <w:proofErr w:type="spellStart"/>
            <w:r w:rsidRPr="00BD5FB4">
              <w:rPr>
                <w:sz w:val="22"/>
                <w:szCs w:val="22"/>
                <w:lang w:val="en-US"/>
              </w:rPr>
              <w:t>paprastai</w:t>
            </w:r>
            <w:proofErr w:type="spellEnd"/>
            <w:r w:rsidRPr="00BD5FB4">
              <w:rPr>
                <w:sz w:val="22"/>
                <w:szCs w:val="22"/>
                <w:lang w:val="en-US"/>
              </w:rPr>
              <w:t xml:space="preserve"> </w:t>
            </w:r>
            <w:proofErr w:type="spellStart"/>
            <w:r w:rsidRPr="00BD5FB4">
              <w:rPr>
                <w:sz w:val="22"/>
                <w:szCs w:val="22"/>
                <w:lang w:val="en-US"/>
              </w:rPr>
              <w:t>pasibaigus</w:t>
            </w:r>
            <w:proofErr w:type="spellEnd"/>
            <w:r w:rsidRPr="00BD5FB4">
              <w:rPr>
                <w:sz w:val="22"/>
                <w:szCs w:val="22"/>
                <w:lang w:val="en-US"/>
              </w:rPr>
              <w:t xml:space="preserve"> </w:t>
            </w:r>
            <w:proofErr w:type="spellStart"/>
            <w:r w:rsidRPr="00BD5FB4">
              <w:rPr>
                <w:sz w:val="22"/>
                <w:szCs w:val="22"/>
                <w:lang w:val="en-US"/>
              </w:rPr>
              <w:t>semestrui</w:t>
            </w:r>
            <w:proofErr w:type="spellEnd"/>
            <w:r w:rsidRPr="00BD5FB4">
              <w:rPr>
                <w:sz w:val="22"/>
                <w:szCs w:val="22"/>
                <w:lang w:val="en-US"/>
              </w:rPr>
              <w:t xml:space="preserve">) </w:t>
            </w:r>
            <w:proofErr w:type="spellStart"/>
            <w:r w:rsidRPr="00BD5FB4">
              <w:rPr>
                <w:sz w:val="22"/>
                <w:szCs w:val="22"/>
                <w:lang w:val="en-US"/>
              </w:rPr>
              <w:t>su</w:t>
            </w:r>
            <w:proofErr w:type="spellEnd"/>
            <w:r w:rsidRPr="00BD5FB4">
              <w:rPr>
                <w:sz w:val="22"/>
                <w:szCs w:val="22"/>
                <w:lang w:val="en-US"/>
              </w:rPr>
              <w:t xml:space="preserve"> </w:t>
            </w:r>
            <w:proofErr w:type="spellStart"/>
            <w:r w:rsidRPr="00BD5FB4">
              <w:rPr>
                <w:sz w:val="22"/>
                <w:szCs w:val="22"/>
                <w:lang w:val="en-US"/>
              </w:rPr>
              <w:t>studentų</w:t>
            </w:r>
            <w:proofErr w:type="spellEnd"/>
            <w:r w:rsidRPr="00BD5FB4">
              <w:rPr>
                <w:sz w:val="22"/>
                <w:szCs w:val="22"/>
                <w:lang w:val="en-US"/>
              </w:rPr>
              <w:t xml:space="preserve"> </w:t>
            </w:r>
            <w:proofErr w:type="spellStart"/>
            <w:r w:rsidRPr="00BD5FB4">
              <w:rPr>
                <w:sz w:val="22"/>
                <w:szCs w:val="22"/>
                <w:lang w:val="en-US"/>
              </w:rPr>
              <w:t>atstovais</w:t>
            </w:r>
            <w:proofErr w:type="spellEnd"/>
            <w:r w:rsidRPr="00BD5FB4">
              <w:rPr>
                <w:sz w:val="22"/>
                <w:szCs w:val="22"/>
                <w:lang w:val="en-US"/>
              </w:rPr>
              <w:t xml:space="preserve"> </w:t>
            </w:r>
            <w:proofErr w:type="spellStart"/>
            <w:proofErr w:type="gramStart"/>
            <w:r w:rsidRPr="00BD5FB4">
              <w:rPr>
                <w:sz w:val="22"/>
                <w:szCs w:val="22"/>
                <w:lang w:val="en-US"/>
              </w:rPr>
              <w:t>aptaria</w:t>
            </w:r>
            <w:r w:rsidR="00600E6E" w:rsidRPr="00BD5FB4">
              <w:rPr>
                <w:sz w:val="22"/>
                <w:szCs w:val="22"/>
                <w:lang w:val="en-US"/>
              </w:rPr>
              <w:t>mi</w:t>
            </w:r>
            <w:proofErr w:type="spellEnd"/>
            <w:r w:rsidRPr="00BD5FB4">
              <w:rPr>
                <w:sz w:val="22"/>
                <w:szCs w:val="22"/>
                <w:lang w:val="en-US"/>
              </w:rPr>
              <w:t xml:space="preserve">  </w:t>
            </w:r>
            <w:proofErr w:type="spellStart"/>
            <w:r w:rsidRPr="00BD5FB4">
              <w:rPr>
                <w:sz w:val="22"/>
                <w:szCs w:val="22"/>
                <w:lang w:val="en-US"/>
              </w:rPr>
              <w:t>studentų</w:t>
            </w:r>
            <w:proofErr w:type="spellEnd"/>
            <w:proofErr w:type="gramEnd"/>
            <w:r w:rsidRPr="00BD5FB4">
              <w:rPr>
                <w:sz w:val="22"/>
                <w:szCs w:val="22"/>
                <w:lang w:val="en-US"/>
              </w:rPr>
              <w:t xml:space="preserve"> </w:t>
            </w:r>
            <w:proofErr w:type="spellStart"/>
            <w:r w:rsidRPr="00BD5FB4">
              <w:rPr>
                <w:sz w:val="22"/>
                <w:szCs w:val="22"/>
                <w:lang w:val="en-US"/>
              </w:rPr>
              <w:t>priėmimo</w:t>
            </w:r>
            <w:proofErr w:type="spellEnd"/>
            <w:r w:rsidRPr="00BD5FB4">
              <w:rPr>
                <w:sz w:val="22"/>
                <w:szCs w:val="22"/>
                <w:lang w:val="en-US"/>
              </w:rPr>
              <w:t xml:space="preserve">, </w:t>
            </w:r>
            <w:proofErr w:type="spellStart"/>
            <w:r w:rsidRPr="00BD5FB4">
              <w:rPr>
                <w:sz w:val="22"/>
                <w:szCs w:val="22"/>
                <w:lang w:val="en-US"/>
              </w:rPr>
              <w:t>egzaminų</w:t>
            </w:r>
            <w:proofErr w:type="spellEnd"/>
            <w:r w:rsidRPr="00BD5FB4">
              <w:rPr>
                <w:sz w:val="22"/>
                <w:szCs w:val="22"/>
                <w:lang w:val="en-US"/>
              </w:rPr>
              <w:t xml:space="preserve"> </w:t>
            </w:r>
            <w:proofErr w:type="spellStart"/>
            <w:r w:rsidRPr="00BD5FB4">
              <w:rPr>
                <w:sz w:val="22"/>
                <w:szCs w:val="22"/>
                <w:lang w:val="en-US"/>
              </w:rPr>
              <w:t>rezultat</w:t>
            </w:r>
            <w:r w:rsidR="00600E6E" w:rsidRPr="00BD5FB4">
              <w:rPr>
                <w:sz w:val="22"/>
                <w:szCs w:val="22"/>
                <w:lang w:val="en-US"/>
              </w:rPr>
              <w:t>ai</w:t>
            </w:r>
            <w:proofErr w:type="spellEnd"/>
            <w:r w:rsidRPr="00BD5FB4">
              <w:rPr>
                <w:sz w:val="22"/>
                <w:szCs w:val="22"/>
                <w:lang w:val="en-US"/>
              </w:rPr>
              <w:t xml:space="preserve">, </w:t>
            </w:r>
            <w:proofErr w:type="spellStart"/>
            <w:r w:rsidRPr="00BD5FB4">
              <w:rPr>
                <w:sz w:val="22"/>
                <w:szCs w:val="22"/>
                <w:lang w:val="en-US"/>
              </w:rPr>
              <w:t>svarstomi</w:t>
            </w:r>
            <w:proofErr w:type="spellEnd"/>
            <w:r w:rsidRPr="00BD5FB4">
              <w:rPr>
                <w:sz w:val="22"/>
                <w:szCs w:val="22"/>
                <w:lang w:val="en-US"/>
              </w:rPr>
              <w:t xml:space="preserve">  </w:t>
            </w:r>
            <w:proofErr w:type="spellStart"/>
            <w:r w:rsidRPr="00BD5FB4">
              <w:rPr>
                <w:sz w:val="22"/>
                <w:szCs w:val="22"/>
                <w:lang w:val="en-US"/>
              </w:rPr>
              <w:t>pasiūlymai</w:t>
            </w:r>
            <w:proofErr w:type="spellEnd"/>
            <w:r w:rsidRPr="00BD5FB4">
              <w:rPr>
                <w:sz w:val="22"/>
                <w:szCs w:val="22"/>
                <w:lang w:val="en-US"/>
              </w:rPr>
              <w:t xml:space="preserve"> studijų </w:t>
            </w:r>
            <w:proofErr w:type="spellStart"/>
            <w:r w:rsidRPr="00BD5FB4">
              <w:rPr>
                <w:sz w:val="22"/>
                <w:szCs w:val="22"/>
                <w:lang w:val="en-US"/>
              </w:rPr>
              <w:t>program</w:t>
            </w:r>
            <w:r w:rsidR="00600E6E" w:rsidRPr="00BD5FB4">
              <w:rPr>
                <w:sz w:val="22"/>
                <w:szCs w:val="22"/>
                <w:lang w:val="en-US"/>
              </w:rPr>
              <w:t>ų</w:t>
            </w:r>
            <w:proofErr w:type="spellEnd"/>
            <w:r w:rsidRPr="00BD5FB4">
              <w:rPr>
                <w:sz w:val="22"/>
                <w:szCs w:val="22"/>
                <w:lang w:val="en-US"/>
              </w:rPr>
              <w:t xml:space="preserve"> </w:t>
            </w:r>
            <w:proofErr w:type="spellStart"/>
            <w:r w:rsidRPr="00BD5FB4">
              <w:rPr>
                <w:sz w:val="22"/>
                <w:szCs w:val="22"/>
                <w:lang w:val="en-US"/>
              </w:rPr>
              <w:t>pakeitimui</w:t>
            </w:r>
            <w:proofErr w:type="spellEnd"/>
            <w:r w:rsidRPr="00BD5FB4">
              <w:rPr>
                <w:sz w:val="22"/>
                <w:szCs w:val="22"/>
                <w:lang w:val="en-US"/>
              </w:rPr>
              <w:t xml:space="preserve"> </w:t>
            </w:r>
            <w:proofErr w:type="spellStart"/>
            <w:r w:rsidRPr="00BD5FB4">
              <w:rPr>
                <w:sz w:val="22"/>
                <w:szCs w:val="22"/>
                <w:lang w:val="en-US"/>
              </w:rPr>
              <w:t>bei</w:t>
            </w:r>
            <w:proofErr w:type="spellEnd"/>
            <w:r w:rsidRPr="00BD5FB4">
              <w:rPr>
                <w:sz w:val="22"/>
                <w:szCs w:val="22"/>
                <w:lang w:val="en-US"/>
              </w:rPr>
              <w:t xml:space="preserve"> </w:t>
            </w:r>
            <w:proofErr w:type="spellStart"/>
            <w:r w:rsidRPr="00BD5FB4">
              <w:rPr>
                <w:sz w:val="22"/>
                <w:szCs w:val="22"/>
                <w:lang w:val="en-US"/>
              </w:rPr>
              <w:t>kokybė</w:t>
            </w:r>
            <w:r w:rsidR="00600E6E" w:rsidRPr="00BD5FB4">
              <w:rPr>
                <w:sz w:val="22"/>
                <w:szCs w:val="22"/>
                <w:lang w:val="en-US"/>
              </w:rPr>
              <w:t>s</w:t>
            </w:r>
            <w:proofErr w:type="spellEnd"/>
            <w:r w:rsidR="00600E6E" w:rsidRPr="00BD5FB4">
              <w:rPr>
                <w:sz w:val="22"/>
                <w:szCs w:val="22"/>
                <w:lang w:val="en-US"/>
              </w:rPr>
              <w:t xml:space="preserve"> </w:t>
            </w:r>
            <w:proofErr w:type="spellStart"/>
            <w:r w:rsidR="00600E6E" w:rsidRPr="00BD5FB4">
              <w:rPr>
                <w:sz w:val="22"/>
                <w:szCs w:val="22"/>
                <w:lang w:val="en-US"/>
              </w:rPr>
              <w:t>užtikrinimui</w:t>
            </w:r>
            <w:proofErr w:type="spellEnd"/>
            <w:r w:rsidR="00600E6E" w:rsidRPr="00BD5FB4">
              <w:rPr>
                <w:sz w:val="22"/>
                <w:szCs w:val="22"/>
                <w:lang w:val="en-US"/>
              </w:rPr>
              <w:t>.</w:t>
            </w:r>
            <w:r w:rsidRPr="00BD5FB4">
              <w:rPr>
                <w:sz w:val="22"/>
                <w:szCs w:val="22"/>
                <w:lang w:val="en-US"/>
              </w:rPr>
              <w:t xml:space="preserve">  </w:t>
            </w:r>
          </w:p>
          <w:p w14:paraId="1EC2F0FD" w14:textId="66205001" w:rsidR="00745528" w:rsidRPr="00BD5FB4" w:rsidRDefault="00745528" w:rsidP="00E83E49">
            <w:pPr>
              <w:jc w:val="both"/>
              <w:rPr>
                <w:sz w:val="22"/>
                <w:szCs w:val="22"/>
              </w:rPr>
            </w:pPr>
            <w:r w:rsidRPr="00BD5FB4">
              <w:rPr>
                <w:sz w:val="22"/>
                <w:szCs w:val="22"/>
                <w:lang w:val="en-US"/>
              </w:rPr>
              <w:t xml:space="preserve">Studijų </w:t>
            </w:r>
            <w:proofErr w:type="spellStart"/>
            <w:r w:rsidRPr="00BD5FB4">
              <w:rPr>
                <w:sz w:val="22"/>
                <w:szCs w:val="22"/>
                <w:lang w:val="en-US"/>
              </w:rPr>
              <w:t>programos</w:t>
            </w:r>
            <w:proofErr w:type="spellEnd"/>
            <w:r w:rsidRPr="00BD5FB4">
              <w:rPr>
                <w:sz w:val="22"/>
                <w:szCs w:val="22"/>
                <w:lang w:val="en-US"/>
              </w:rPr>
              <w:t xml:space="preserve"> </w:t>
            </w:r>
            <w:proofErr w:type="spellStart"/>
            <w:r w:rsidRPr="00BD5FB4">
              <w:rPr>
                <w:sz w:val="22"/>
                <w:szCs w:val="22"/>
                <w:lang w:val="en-US"/>
              </w:rPr>
              <w:t>yra</w:t>
            </w:r>
            <w:proofErr w:type="spellEnd"/>
            <w:r w:rsidRPr="00BD5FB4">
              <w:rPr>
                <w:sz w:val="22"/>
                <w:szCs w:val="22"/>
                <w:lang w:val="en-US"/>
              </w:rPr>
              <w:t xml:space="preserve"> </w:t>
            </w:r>
            <w:proofErr w:type="spellStart"/>
            <w:r w:rsidRPr="00BD5FB4">
              <w:rPr>
                <w:sz w:val="22"/>
                <w:szCs w:val="22"/>
                <w:lang w:val="en-US"/>
              </w:rPr>
              <w:t>viešinamos</w:t>
            </w:r>
            <w:proofErr w:type="spellEnd"/>
            <w:r w:rsidRPr="00BD5FB4">
              <w:rPr>
                <w:sz w:val="22"/>
                <w:szCs w:val="22"/>
                <w:lang w:val="en-US"/>
              </w:rPr>
              <w:t xml:space="preserve"> </w:t>
            </w:r>
            <w:proofErr w:type="spellStart"/>
            <w:r w:rsidRPr="00BD5FB4">
              <w:rPr>
                <w:sz w:val="22"/>
                <w:szCs w:val="22"/>
                <w:lang w:val="en-US"/>
              </w:rPr>
              <w:t>žiniaskalaidoje</w:t>
            </w:r>
            <w:proofErr w:type="spellEnd"/>
            <w:r w:rsidRPr="00BD5FB4">
              <w:rPr>
                <w:sz w:val="22"/>
                <w:szCs w:val="22"/>
                <w:lang w:val="en-US"/>
              </w:rPr>
              <w:t xml:space="preserve"> (</w:t>
            </w:r>
            <w:proofErr w:type="spellStart"/>
            <w:r w:rsidRPr="00BD5FB4">
              <w:rPr>
                <w:sz w:val="22"/>
                <w:szCs w:val="22"/>
                <w:lang w:val="en-US"/>
              </w:rPr>
              <w:t>interviu</w:t>
            </w:r>
            <w:proofErr w:type="spellEnd"/>
            <w:r w:rsidRPr="00BD5FB4">
              <w:rPr>
                <w:sz w:val="22"/>
                <w:szCs w:val="22"/>
                <w:lang w:val="en-US"/>
              </w:rPr>
              <w:t xml:space="preserve"> </w:t>
            </w:r>
            <w:proofErr w:type="spellStart"/>
            <w:r w:rsidRPr="00BD5FB4">
              <w:rPr>
                <w:sz w:val="22"/>
                <w:szCs w:val="22"/>
                <w:lang w:val="en-US"/>
              </w:rPr>
              <w:t>su</w:t>
            </w:r>
            <w:proofErr w:type="spellEnd"/>
            <w:r w:rsidRPr="00BD5FB4">
              <w:rPr>
                <w:sz w:val="22"/>
                <w:szCs w:val="22"/>
                <w:lang w:val="en-US"/>
              </w:rPr>
              <w:t xml:space="preserve"> </w:t>
            </w:r>
            <w:proofErr w:type="spellStart"/>
            <w:r w:rsidRPr="00BD5FB4">
              <w:rPr>
                <w:sz w:val="22"/>
                <w:szCs w:val="22"/>
                <w:lang w:val="en-US"/>
              </w:rPr>
              <w:t>katedros</w:t>
            </w:r>
            <w:proofErr w:type="spellEnd"/>
            <w:r w:rsidRPr="00BD5FB4">
              <w:rPr>
                <w:sz w:val="22"/>
                <w:szCs w:val="22"/>
                <w:lang w:val="en-US"/>
              </w:rPr>
              <w:t xml:space="preserve"> </w:t>
            </w:r>
            <w:proofErr w:type="spellStart"/>
            <w:r w:rsidRPr="00BD5FB4">
              <w:rPr>
                <w:sz w:val="22"/>
                <w:szCs w:val="22"/>
                <w:lang w:val="en-US"/>
              </w:rPr>
              <w:t>vedėju</w:t>
            </w:r>
            <w:proofErr w:type="spellEnd"/>
            <w:r w:rsidRPr="00BD5FB4">
              <w:rPr>
                <w:sz w:val="22"/>
                <w:szCs w:val="22"/>
                <w:lang w:val="en-US"/>
              </w:rPr>
              <w:t xml:space="preserve"> ir </w:t>
            </w:r>
            <w:proofErr w:type="spellStart"/>
            <w:r w:rsidRPr="00BD5FB4">
              <w:rPr>
                <w:sz w:val="22"/>
                <w:szCs w:val="22"/>
                <w:lang w:val="en-US"/>
              </w:rPr>
              <w:t>alumnu</w:t>
            </w:r>
            <w:proofErr w:type="spellEnd"/>
            <w:r w:rsidRPr="00BD5FB4">
              <w:rPr>
                <w:sz w:val="22"/>
                <w:szCs w:val="22"/>
                <w:lang w:val="en-US"/>
              </w:rPr>
              <w:t xml:space="preserve"> “</w:t>
            </w:r>
            <w:proofErr w:type="spellStart"/>
            <w:r w:rsidRPr="00BD5FB4">
              <w:rPr>
                <w:sz w:val="22"/>
                <w:szCs w:val="22"/>
                <w:lang w:val="en-US"/>
              </w:rPr>
              <w:t>Žinių</w:t>
            </w:r>
            <w:proofErr w:type="spellEnd"/>
            <w:r w:rsidRPr="00BD5FB4">
              <w:rPr>
                <w:sz w:val="22"/>
                <w:szCs w:val="22"/>
                <w:lang w:val="en-US"/>
              </w:rPr>
              <w:t xml:space="preserve"> </w:t>
            </w:r>
            <w:proofErr w:type="spellStart"/>
            <w:r w:rsidRPr="00BD5FB4">
              <w:rPr>
                <w:sz w:val="22"/>
                <w:szCs w:val="22"/>
                <w:lang w:val="en-US"/>
              </w:rPr>
              <w:t>radijuje</w:t>
            </w:r>
            <w:proofErr w:type="spellEnd"/>
            <w:r w:rsidRPr="00BD5FB4">
              <w:rPr>
                <w:sz w:val="22"/>
                <w:szCs w:val="22"/>
                <w:lang w:val="en-US"/>
              </w:rPr>
              <w:t xml:space="preserve">”) </w:t>
            </w:r>
            <w:proofErr w:type="spellStart"/>
            <w:r w:rsidRPr="00BD5FB4">
              <w:rPr>
                <w:sz w:val="22"/>
                <w:szCs w:val="22"/>
                <w:lang w:val="en-US"/>
              </w:rPr>
              <w:t>bei</w:t>
            </w:r>
            <w:proofErr w:type="spellEnd"/>
            <w:r w:rsidRPr="00BD5FB4">
              <w:rPr>
                <w:sz w:val="22"/>
                <w:szCs w:val="22"/>
                <w:lang w:val="en-US"/>
              </w:rPr>
              <w:t xml:space="preserve"> </w:t>
            </w:r>
            <w:proofErr w:type="spellStart"/>
            <w:r w:rsidRPr="00BD5FB4">
              <w:rPr>
                <w:sz w:val="22"/>
                <w:szCs w:val="22"/>
                <w:lang w:val="en-US"/>
              </w:rPr>
              <w:t>socialiniuose</w:t>
            </w:r>
            <w:proofErr w:type="spellEnd"/>
            <w:r w:rsidRPr="00BD5FB4">
              <w:rPr>
                <w:sz w:val="22"/>
                <w:szCs w:val="22"/>
                <w:lang w:val="en-US"/>
              </w:rPr>
              <w:t xml:space="preserve"> </w:t>
            </w:r>
            <w:proofErr w:type="spellStart"/>
            <w:r w:rsidRPr="00BD5FB4">
              <w:rPr>
                <w:sz w:val="22"/>
                <w:szCs w:val="22"/>
                <w:lang w:val="en-US"/>
              </w:rPr>
              <w:t>tinkluose</w:t>
            </w:r>
            <w:proofErr w:type="spellEnd"/>
            <w:r w:rsidRPr="00BD5FB4">
              <w:rPr>
                <w:sz w:val="22"/>
                <w:szCs w:val="22"/>
                <w:lang w:val="en-US"/>
              </w:rPr>
              <w:t xml:space="preserve">, </w:t>
            </w:r>
            <w:proofErr w:type="spellStart"/>
            <w:r w:rsidRPr="00BD5FB4">
              <w:rPr>
                <w:sz w:val="22"/>
                <w:szCs w:val="22"/>
                <w:lang w:val="en-US"/>
              </w:rPr>
              <w:t>sukurtas</w:t>
            </w:r>
            <w:proofErr w:type="spellEnd"/>
            <w:r w:rsidRPr="00BD5FB4">
              <w:rPr>
                <w:sz w:val="22"/>
                <w:szCs w:val="22"/>
                <w:lang w:val="en-US"/>
              </w:rPr>
              <w:t xml:space="preserve"> </w:t>
            </w:r>
            <w:proofErr w:type="spellStart"/>
            <w:r w:rsidRPr="00BD5FB4">
              <w:rPr>
                <w:sz w:val="22"/>
                <w:szCs w:val="22"/>
                <w:lang w:val="en-US"/>
              </w:rPr>
              <w:t>videoklipas</w:t>
            </w:r>
            <w:proofErr w:type="spellEnd"/>
            <w:r w:rsidRPr="00BD5FB4">
              <w:rPr>
                <w:sz w:val="22"/>
                <w:szCs w:val="22"/>
                <w:lang w:val="en-US"/>
              </w:rPr>
              <w:t xml:space="preserve"> </w:t>
            </w:r>
            <w:proofErr w:type="spellStart"/>
            <w:r w:rsidRPr="00BD5FB4">
              <w:rPr>
                <w:sz w:val="22"/>
                <w:szCs w:val="22"/>
                <w:lang w:val="en-US"/>
              </w:rPr>
              <w:t>apie</w:t>
            </w:r>
            <w:proofErr w:type="spellEnd"/>
            <w:r w:rsidRPr="00BD5FB4">
              <w:rPr>
                <w:sz w:val="22"/>
                <w:szCs w:val="22"/>
                <w:lang w:val="en-US"/>
              </w:rPr>
              <w:t xml:space="preserve"> studijų </w:t>
            </w:r>
            <w:proofErr w:type="spellStart"/>
            <w:r w:rsidRPr="00BD5FB4">
              <w:rPr>
                <w:sz w:val="22"/>
                <w:szCs w:val="22"/>
                <w:lang w:val="en-US"/>
              </w:rPr>
              <w:t>programas</w:t>
            </w:r>
            <w:proofErr w:type="spellEnd"/>
            <w:r w:rsidRPr="00BD5FB4">
              <w:rPr>
                <w:sz w:val="22"/>
                <w:szCs w:val="22"/>
                <w:lang w:val="en-US"/>
              </w:rPr>
              <w:t xml:space="preserve">. </w:t>
            </w:r>
          </w:p>
        </w:tc>
        <w:tc>
          <w:tcPr>
            <w:tcW w:w="717" w:type="pct"/>
            <w:vAlign w:val="center"/>
          </w:tcPr>
          <w:p w14:paraId="37A3CCF0" w14:textId="3A2B89F5" w:rsidR="00457025" w:rsidRPr="00BD5FB4" w:rsidRDefault="00457025" w:rsidP="00E83E49">
            <w:pPr>
              <w:jc w:val="both"/>
              <w:rPr>
                <w:sz w:val="22"/>
                <w:szCs w:val="22"/>
              </w:rPr>
            </w:pPr>
          </w:p>
        </w:tc>
        <w:tc>
          <w:tcPr>
            <w:tcW w:w="907" w:type="pct"/>
          </w:tcPr>
          <w:p w14:paraId="2BDE3CB0" w14:textId="77777777" w:rsidR="00457025" w:rsidRPr="00BD5FB4" w:rsidRDefault="00457025" w:rsidP="00E83E49">
            <w:pPr>
              <w:jc w:val="both"/>
              <w:rPr>
                <w:sz w:val="22"/>
                <w:szCs w:val="22"/>
              </w:rPr>
            </w:pPr>
          </w:p>
          <w:p w14:paraId="0E1A6979" w14:textId="77777777" w:rsidR="00457025" w:rsidRPr="00BD5FB4" w:rsidRDefault="00457025" w:rsidP="00E83E49">
            <w:pPr>
              <w:jc w:val="both"/>
              <w:rPr>
                <w:sz w:val="22"/>
                <w:szCs w:val="22"/>
              </w:rPr>
            </w:pPr>
          </w:p>
          <w:p w14:paraId="75A59E29" w14:textId="77777777" w:rsidR="00457025" w:rsidRPr="00BD5FB4" w:rsidRDefault="00457025" w:rsidP="00E83E49">
            <w:pPr>
              <w:jc w:val="both"/>
              <w:rPr>
                <w:sz w:val="22"/>
                <w:szCs w:val="22"/>
              </w:rPr>
            </w:pPr>
          </w:p>
          <w:p w14:paraId="4EA2564B" w14:textId="77777777" w:rsidR="00457025" w:rsidRPr="00BD5FB4" w:rsidRDefault="00457025" w:rsidP="00E83E49">
            <w:pPr>
              <w:jc w:val="both"/>
              <w:rPr>
                <w:sz w:val="22"/>
                <w:szCs w:val="22"/>
              </w:rPr>
            </w:pPr>
          </w:p>
          <w:p w14:paraId="4A4D1AB6" w14:textId="77777777" w:rsidR="00457025" w:rsidRPr="00BD5FB4" w:rsidRDefault="00457025" w:rsidP="00E83E49">
            <w:pPr>
              <w:jc w:val="both"/>
              <w:rPr>
                <w:sz w:val="22"/>
                <w:szCs w:val="22"/>
              </w:rPr>
            </w:pPr>
          </w:p>
          <w:p w14:paraId="16D22D67" w14:textId="77777777" w:rsidR="00457025" w:rsidRPr="00BD5FB4" w:rsidRDefault="00457025" w:rsidP="00E83E49">
            <w:pPr>
              <w:jc w:val="both"/>
              <w:rPr>
                <w:sz w:val="22"/>
                <w:szCs w:val="22"/>
              </w:rPr>
            </w:pPr>
          </w:p>
          <w:p w14:paraId="4B588A5D" w14:textId="77777777" w:rsidR="00457025" w:rsidRPr="00BD5FB4" w:rsidRDefault="00457025" w:rsidP="00E83E49">
            <w:pPr>
              <w:jc w:val="both"/>
              <w:rPr>
                <w:sz w:val="22"/>
                <w:szCs w:val="22"/>
              </w:rPr>
            </w:pPr>
          </w:p>
          <w:p w14:paraId="68B7BAD5" w14:textId="77777777" w:rsidR="00457025" w:rsidRPr="00BD5FB4" w:rsidRDefault="00457025" w:rsidP="00E83E49">
            <w:pPr>
              <w:jc w:val="both"/>
              <w:rPr>
                <w:sz w:val="22"/>
                <w:szCs w:val="22"/>
              </w:rPr>
            </w:pPr>
          </w:p>
          <w:p w14:paraId="43EFFC95" w14:textId="77777777" w:rsidR="00457025" w:rsidRPr="00BD5FB4" w:rsidRDefault="00457025" w:rsidP="00E83E49">
            <w:pPr>
              <w:jc w:val="both"/>
              <w:rPr>
                <w:sz w:val="22"/>
                <w:szCs w:val="22"/>
              </w:rPr>
            </w:pPr>
          </w:p>
          <w:p w14:paraId="38372FBB" w14:textId="77777777" w:rsidR="00457025" w:rsidRPr="00BD5FB4" w:rsidRDefault="00457025" w:rsidP="00E83E49">
            <w:pPr>
              <w:jc w:val="both"/>
              <w:rPr>
                <w:sz w:val="22"/>
                <w:szCs w:val="22"/>
              </w:rPr>
            </w:pPr>
          </w:p>
          <w:p w14:paraId="3C53C807" w14:textId="77777777" w:rsidR="00457025" w:rsidRPr="00BD5FB4" w:rsidRDefault="00457025" w:rsidP="00E83E49">
            <w:pPr>
              <w:jc w:val="both"/>
              <w:rPr>
                <w:sz w:val="22"/>
                <w:szCs w:val="22"/>
              </w:rPr>
            </w:pPr>
          </w:p>
          <w:p w14:paraId="6C609DF1" w14:textId="77777777" w:rsidR="00457025" w:rsidRPr="00BD5FB4" w:rsidRDefault="00457025" w:rsidP="00E83E49">
            <w:pPr>
              <w:jc w:val="both"/>
              <w:rPr>
                <w:sz w:val="22"/>
                <w:szCs w:val="22"/>
              </w:rPr>
            </w:pPr>
          </w:p>
          <w:p w14:paraId="4FF4C6D5" w14:textId="42D5A5EA" w:rsidR="00457025" w:rsidRPr="00BD5FB4" w:rsidRDefault="00457025" w:rsidP="00E83E49">
            <w:pPr>
              <w:jc w:val="both"/>
              <w:rPr>
                <w:sz w:val="22"/>
                <w:szCs w:val="22"/>
              </w:rPr>
            </w:pPr>
          </w:p>
          <w:p w14:paraId="194AE1D8" w14:textId="68C6DB28" w:rsidR="00457025" w:rsidRPr="00BD5FB4" w:rsidRDefault="00457025" w:rsidP="00E83E49">
            <w:pPr>
              <w:jc w:val="both"/>
              <w:rPr>
                <w:sz w:val="22"/>
                <w:szCs w:val="22"/>
              </w:rPr>
            </w:pPr>
          </w:p>
          <w:p w14:paraId="2FD27682" w14:textId="77777777" w:rsidR="00457025" w:rsidRPr="00BD5FB4" w:rsidRDefault="00457025" w:rsidP="00E83E49">
            <w:pPr>
              <w:jc w:val="both"/>
              <w:rPr>
                <w:sz w:val="22"/>
                <w:szCs w:val="22"/>
              </w:rPr>
            </w:pPr>
          </w:p>
          <w:p w14:paraId="57D752CC" w14:textId="77777777" w:rsidR="00457025" w:rsidRPr="00BD5FB4" w:rsidRDefault="00457025" w:rsidP="00E83E49">
            <w:pPr>
              <w:jc w:val="both"/>
              <w:rPr>
                <w:sz w:val="22"/>
                <w:szCs w:val="22"/>
              </w:rPr>
            </w:pPr>
          </w:p>
          <w:p w14:paraId="21F9E16A" w14:textId="08C09C6D" w:rsidR="00457025" w:rsidRPr="00BD5FB4" w:rsidRDefault="00457025" w:rsidP="00E83E49">
            <w:pPr>
              <w:jc w:val="both"/>
              <w:rPr>
                <w:sz w:val="22"/>
                <w:szCs w:val="22"/>
              </w:rPr>
            </w:pPr>
          </w:p>
        </w:tc>
      </w:tr>
    </w:tbl>
    <w:p w14:paraId="3DA4B551" w14:textId="77777777" w:rsidR="00D62C14" w:rsidRPr="00BD5FB4" w:rsidRDefault="00D62C14" w:rsidP="00E83E49">
      <w:pPr>
        <w:jc w:val="both"/>
        <w:rPr>
          <w:b/>
          <w:bCs/>
          <w:sz w:val="22"/>
          <w:szCs w:val="22"/>
        </w:rPr>
      </w:pPr>
    </w:p>
    <w:p w14:paraId="72CCC54E" w14:textId="603DC448" w:rsidR="00D62C14" w:rsidRPr="00BD5FB4" w:rsidRDefault="00D62C14" w:rsidP="00D62C14">
      <w:pPr>
        <w:rPr>
          <w:b/>
          <w:bCs/>
          <w:sz w:val="22"/>
          <w:szCs w:val="22"/>
        </w:rPr>
      </w:pPr>
    </w:p>
    <w:p w14:paraId="34BA3C38" w14:textId="13751197" w:rsidR="00D62C14" w:rsidRPr="00BD5FB4" w:rsidRDefault="00D62C14" w:rsidP="00D62C14">
      <w:pPr>
        <w:jc w:val="both"/>
        <w:rPr>
          <w:b/>
          <w:bCs/>
          <w:sz w:val="22"/>
          <w:szCs w:val="22"/>
        </w:rPr>
      </w:pPr>
    </w:p>
    <w:tbl>
      <w:tblPr>
        <w:tblW w:w="0" w:type="auto"/>
        <w:tblLook w:val="00A0" w:firstRow="1" w:lastRow="0" w:firstColumn="1" w:lastColumn="0" w:noHBand="0" w:noVBand="0"/>
      </w:tblPr>
      <w:tblGrid>
        <w:gridCol w:w="6521"/>
        <w:gridCol w:w="283"/>
        <w:gridCol w:w="2127"/>
        <w:gridCol w:w="567"/>
        <w:gridCol w:w="2126"/>
      </w:tblGrid>
      <w:tr w:rsidR="00611BC0" w:rsidRPr="00BD5FB4" w14:paraId="093443C2" w14:textId="77777777" w:rsidTr="008E10FB">
        <w:tc>
          <w:tcPr>
            <w:tcW w:w="6521" w:type="dxa"/>
            <w:tcBorders>
              <w:bottom w:val="single" w:sz="4" w:space="0" w:color="auto"/>
            </w:tcBorders>
          </w:tcPr>
          <w:p w14:paraId="67A505FC" w14:textId="1F2EC9B6" w:rsidR="00D62C14" w:rsidRPr="00BD5FB4" w:rsidRDefault="00C148BF" w:rsidP="00C36252">
            <w:pPr>
              <w:rPr>
                <w:i/>
                <w:iCs/>
                <w:sz w:val="22"/>
                <w:szCs w:val="22"/>
              </w:rPr>
            </w:pPr>
            <w:r w:rsidRPr="00BD5FB4">
              <w:rPr>
                <w:sz w:val="22"/>
                <w:szCs w:val="22"/>
                <w:lang w:eastAsia="lt-LT"/>
              </w:rPr>
              <w:t>Prof. dr. Jaunius Urbonavičius</w:t>
            </w:r>
          </w:p>
        </w:tc>
        <w:tc>
          <w:tcPr>
            <w:tcW w:w="283" w:type="dxa"/>
          </w:tcPr>
          <w:p w14:paraId="40E385FD" w14:textId="77777777" w:rsidR="00D62C14" w:rsidRPr="00BD5FB4" w:rsidRDefault="00D62C14" w:rsidP="00C36252">
            <w:pPr>
              <w:rPr>
                <w:sz w:val="22"/>
                <w:szCs w:val="22"/>
              </w:rPr>
            </w:pPr>
          </w:p>
        </w:tc>
        <w:tc>
          <w:tcPr>
            <w:tcW w:w="2127" w:type="dxa"/>
            <w:tcBorders>
              <w:bottom w:val="single" w:sz="4" w:space="0" w:color="auto"/>
            </w:tcBorders>
          </w:tcPr>
          <w:p w14:paraId="739814E5" w14:textId="2159885A" w:rsidR="00D62C14" w:rsidRPr="00BD5FB4" w:rsidRDefault="00D62C14" w:rsidP="00C36252">
            <w:pPr>
              <w:rPr>
                <w:sz w:val="22"/>
                <w:szCs w:val="22"/>
              </w:rPr>
            </w:pPr>
          </w:p>
        </w:tc>
        <w:tc>
          <w:tcPr>
            <w:tcW w:w="567" w:type="dxa"/>
          </w:tcPr>
          <w:p w14:paraId="2C669B2A" w14:textId="77777777" w:rsidR="00D62C14" w:rsidRPr="00BD5FB4" w:rsidRDefault="00D62C14" w:rsidP="00C36252">
            <w:pPr>
              <w:rPr>
                <w:sz w:val="22"/>
                <w:szCs w:val="22"/>
              </w:rPr>
            </w:pPr>
          </w:p>
        </w:tc>
        <w:tc>
          <w:tcPr>
            <w:tcW w:w="2126" w:type="dxa"/>
            <w:tcBorders>
              <w:bottom w:val="single" w:sz="4" w:space="0" w:color="auto"/>
            </w:tcBorders>
          </w:tcPr>
          <w:p w14:paraId="775B6B67" w14:textId="5EF9B798" w:rsidR="00D62C14" w:rsidRPr="00BD5FB4" w:rsidRDefault="00D62C14" w:rsidP="008E10FB">
            <w:pPr>
              <w:jc w:val="center"/>
              <w:rPr>
                <w:sz w:val="22"/>
                <w:szCs w:val="22"/>
              </w:rPr>
            </w:pPr>
          </w:p>
        </w:tc>
      </w:tr>
      <w:tr w:rsidR="008E10FB" w:rsidRPr="00BD5FB4" w14:paraId="66BCFF14" w14:textId="77777777" w:rsidTr="008E10FB">
        <w:tc>
          <w:tcPr>
            <w:tcW w:w="6521" w:type="dxa"/>
            <w:tcBorders>
              <w:top w:val="single" w:sz="4" w:space="0" w:color="auto"/>
            </w:tcBorders>
          </w:tcPr>
          <w:p w14:paraId="35182E56" w14:textId="77777777" w:rsidR="00D62C14" w:rsidRPr="00BD5FB4" w:rsidRDefault="00D62C14" w:rsidP="00C36252">
            <w:pPr>
              <w:jc w:val="center"/>
              <w:rPr>
                <w:sz w:val="22"/>
                <w:szCs w:val="22"/>
              </w:rPr>
            </w:pPr>
            <w:r w:rsidRPr="00BD5FB4">
              <w:rPr>
                <w:sz w:val="22"/>
                <w:szCs w:val="22"/>
              </w:rPr>
              <w:t>Pareigos, vardas, pavardė</w:t>
            </w:r>
          </w:p>
        </w:tc>
        <w:tc>
          <w:tcPr>
            <w:tcW w:w="283" w:type="dxa"/>
          </w:tcPr>
          <w:p w14:paraId="7BB6704E" w14:textId="77777777" w:rsidR="00D62C14" w:rsidRPr="00BD5FB4" w:rsidRDefault="00D62C14" w:rsidP="00C36252">
            <w:pPr>
              <w:rPr>
                <w:sz w:val="22"/>
                <w:szCs w:val="22"/>
              </w:rPr>
            </w:pPr>
          </w:p>
        </w:tc>
        <w:tc>
          <w:tcPr>
            <w:tcW w:w="2127" w:type="dxa"/>
            <w:tcBorders>
              <w:top w:val="single" w:sz="4" w:space="0" w:color="auto"/>
            </w:tcBorders>
          </w:tcPr>
          <w:p w14:paraId="20FF6317" w14:textId="5541948B" w:rsidR="00D62C14" w:rsidRPr="00BD5FB4" w:rsidRDefault="00D62C14" w:rsidP="00C36252">
            <w:pPr>
              <w:jc w:val="center"/>
              <w:rPr>
                <w:sz w:val="22"/>
                <w:szCs w:val="22"/>
              </w:rPr>
            </w:pPr>
            <w:r w:rsidRPr="00BD5FB4">
              <w:rPr>
                <w:sz w:val="22"/>
                <w:szCs w:val="22"/>
              </w:rPr>
              <w:t>parašas</w:t>
            </w:r>
          </w:p>
        </w:tc>
        <w:tc>
          <w:tcPr>
            <w:tcW w:w="567" w:type="dxa"/>
          </w:tcPr>
          <w:p w14:paraId="00891B7D" w14:textId="77777777" w:rsidR="00D62C14" w:rsidRPr="00BD5FB4" w:rsidRDefault="00D62C14" w:rsidP="00C36252">
            <w:pPr>
              <w:rPr>
                <w:sz w:val="22"/>
                <w:szCs w:val="22"/>
              </w:rPr>
            </w:pPr>
          </w:p>
        </w:tc>
        <w:tc>
          <w:tcPr>
            <w:tcW w:w="2126" w:type="dxa"/>
            <w:tcBorders>
              <w:top w:val="single" w:sz="4" w:space="0" w:color="auto"/>
            </w:tcBorders>
          </w:tcPr>
          <w:p w14:paraId="26F02B61" w14:textId="77777777" w:rsidR="00D62C14" w:rsidRPr="00BD5FB4" w:rsidRDefault="00D62C14" w:rsidP="00C36252">
            <w:pPr>
              <w:jc w:val="center"/>
              <w:rPr>
                <w:sz w:val="22"/>
                <w:szCs w:val="22"/>
              </w:rPr>
            </w:pPr>
            <w:r w:rsidRPr="00BD5FB4">
              <w:rPr>
                <w:sz w:val="22"/>
                <w:szCs w:val="22"/>
              </w:rPr>
              <w:t>data</w:t>
            </w:r>
          </w:p>
        </w:tc>
      </w:tr>
    </w:tbl>
    <w:p w14:paraId="25B28B09" w14:textId="4BA3DCAA" w:rsidR="00DF6FAC" w:rsidRDefault="00DF6FAC" w:rsidP="00E55AE8">
      <w:pPr>
        <w:tabs>
          <w:tab w:val="center" w:pos="4153"/>
          <w:tab w:val="right" w:pos="8306"/>
        </w:tabs>
      </w:pPr>
    </w:p>
    <w:p w14:paraId="6855328F" w14:textId="708854F3" w:rsidR="00AB54C2" w:rsidRPr="00611BC0" w:rsidRDefault="00AB54C2" w:rsidP="00E55AE8">
      <w:pPr>
        <w:tabs>
          <w:tab w:val="center" w:pos="4153"/>
          <w:tab w:val="right" w:pos="8306"/>
        </w:tabs>
      </w:pPr>
      <w:r>
        <w:t xml:space="preserve">                                                        ________________________________________________________</w:t>
      </w:r>
    </w:p>
    <w:sectPr w:rsidR="00AB54C2" w:rsidRPr="00611BC0" w:rsidSect="00D62C14">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14"/>
    <w:rsid w:val="0005765B"/>
    <w:rsid w:val="00057F58"/>
    <w:rsid w:val="0007234B"/>
    <w:rsid w:val="00091CE8"/>
    <w:rsid w:val="000E22E9"/>
    <w:rsid w:val="000E3FD8"/>
    <w:rsid w:val="001345D0"/>
    <w:rsid w:val="001374B1"/>
    <w:rsid w:val="001610FB"/>
    <w:rsid w:val="00165B08"/>
    <w:rsid w:val="001667C4"/>
    <w:rsid w:val="001877D2"/>
    <w:rsid w:val="001F3119"/>
    <w:rsid w:val="001F7984"/>
    <w:rsid w:val="00217A08"/>
    <w:rsid w:val="00221B97"/>
    <w:rsid w:val="00255D7F"/>
    <w:rsid w:val="00265F65"/>
    <w:rsid w:val="00283CB3"/>
    <w:rsid w:val="002B4DC0"/>
    <w:rsid w:val="002C21AF"/>
    <w:rsid w:val="002E06DD"/>
    <w:rsid w:val="002F2D0C"/>
    <w:rsid w:val="00311922"/>
    <w:rsid w:val="00353A2B"/>
    <w:rsid w:val="003B45F2"/>
    <w:rsid w:val="003C0481"/>
    <w:rsid w:val="003D32E5"/>
    <w:rsid w:val="00403465"/>
    <w:rsid w:val="00422AF1"/>
    <w:rsid w:val="0044184C"/>
    <w:rsid w:val="00456619"/>
    <w:rsid w:val="00457025"/>
    <w:rsid w:val="00457F17"/>
    <w:rsid w:val="0047056D"/>
    <w:rsid w:val="0048621A"/>
    <w:rsid w:val="00487807"/>
    <w:rsid w:val="00491637"/>
    <w:rsid w:val="004A636E"/>
    <w:rsid w:val="004A7C44"/>
    <w:rsid w:val="004D0598"/>
    <w:rsid w:val="004D4EAF"/>
    <w:rsid w:val="004E5CC9"/>
    <w:rsid w:val="00532B52"/>
    <w:rsid w:val="00557F63"/>
    <w:rsid w:val="00580045"/>
    <w:rsid w:val="005E34F9"/>
    <w:rsid w:val="005F0677"/>
    <w:rsid w:val="00600E6E"/>
    <w:rsid w:val="00611BC0"/>
    <w:rsid w:val="0065614B"/>
    <w:rsid w:val="006724EC"/>
    <w:rsid w:val="00672A7C"/>
    <w:rsid w:val="0067600A"/>
    <w:rsid w:val="0068578F"/>
    <w:rsid w:val="006A3565"/>
    <w:rsid w:val="006C2D60"/>
    <w:rsid w:val="00713E17"/>
    <w:rsid w:val="00722657"/>
    <w:rsid w:val="00743BFE"/>
    <w:rsid w:val="00745528"/>
    <w:rsid w:val="00771430"/>
    <w:rsid w:val="00772180"/>
    <w:rsid w:val="0078426E"/>
    <w:rsid w:val="007A48F0"/>
    <w:rsid w:val="007B2A32"/>
    <w:rsid w:val="007B2F1B"/>
    <w:rsid w:val="007C3A5A"/>
    <w:rsid w:val="007D6612"/>
    <w:rsid w:val="008025AB"/>
    <w:rsid w:val="00813760"/>
    <w:rsid w:val="00840DA2"/>
    <w:rsid w:val="008433BF"/>
    <w:rsid w:val="008476D0"/>
    <w:rsid w:val="00860970"/>
    <w:rsid w:val="00877A8C"/>
    <w:rsid w:val="008870D8"/>
    <w:rsid w:val="008D40C8"/>
    <w:rsid w:val="008E10FB"/>
    <w:rsid w:val="008F0FEB"/>
    <w:rsid w:val="008F65ED"/>
    <w:rsid w:val="00906744"/>
    <w:rsid w:val="00912B74"/>
    <w:rsid w:val="00917858"/>
    <w:rsid w:val="009376AF"/>
    <w:rsid w:val="009731EE"/>
    <w:rsid w:val="009A6D45"/>
    <w:rsid w:val="009C60BB"/>
    <w:rsid w:val="009E6BC2"/>
    <w:rsid w:val="00A126AF"/>
    <w:rsid w:val="00A2195C"/>
    <w:rsid w:val="00A74A3E"/>
    <w:rsid w:val="00A97573"/>
    <w:rsid w:val="00AB54C2"/>
    <w:rsid w:val="00B17AFD"/>
    <w:rsid w:val="00B300DC"/>
    <w:rsid w:val="00B432D5"/>
    <w:rsid w:val="00B468BD"/>
    <w:rsid w:val="00B77369"/>
    <w:rsid w:val="00BC0D8E"/>
    <w:rsid w:val="00BC4DE7"/>
    <w:rsid w:val="00BD5FB4"/>
    <w:rsid w:val="00BD791B"/>
    <w:rsid w:val="00BE2606"/>
    <w:rsid w:val="00C05D93"/>
    <w:rsid w:val="00C13F8C"/>
    <w:rsid w:val="00C148BF"/>
    <w:rsid w:val="00C24268"/>
    <w:rsid w:val="00CA7B5E"/>
    <w:rsid w:val="00CB269D"/>
    <w:rsid w:val="00CB685C"/>
    <w:rsid w:val="00CE331A"/>
    <w:rsid w:val="00CF1766"/>
    <w:rsid w:val="00CF296E"/>
    <w:rsid w:val="00D0564F"/>
    <w:rsid w:val="00D1464B"/>
    <w:rsid w:val="00D25A56"/>
    <w:rsid w:val="00D36060"/>
    <w:rsid w:val="00D44BDA"/>
    <w:rsid w:val="00D62C14"/>
    <w:rsid w:val="00DA60C3"/>
    <w:rsid w:val="00DA62C8"/>
    <w:rsid w:val="00DA647D"/>
    <w:rsid w:val="00DB3005"/>
    <w:rsid w:val="00DC300E"/>
    <w:rsid w:val="00DD4125"/>
    <w:rsid w:val="00DE7D44"/>
    <w:rsid w:val="00DF6FAC"/>
    <w:rsid w:val="00E03406"/>
    <w:rsid w:val="00E1716E"/>
    <w:rsid w:val="00E2479E"/>
    <w:rsid w:val="00E25D09"/>
    <w:rsid w:val="00E46B7A"/>
    <w:rsid w:val="00E47AAA"/>
    <w:rsid w:val="00E55AE8"/>
    <w:rsid w:val="00E74D3E"/>
    <w:rsid w:val="00E83E49"/>
    <w:rsid w:val="00E87CD2"/>
    <w:rsid w:val="00E9058D"/>
    <w:rsid w:val="00EB084F"/>
    <w:rsid w:val="00EE00BA"/>
    <w:rsid w:val="00F61B3D"/>
    <w:rsid w:val="00F65C58"/>
    <w:rsid w:val="00F6794E"/>
    <w:rsid w:val="00F71DBF"/>
    <w:rsid w:val="00F72FF4"/>
    <w:rsid w:val="00F82516"/>
    <w:rsid w:val="00FA69C6"/>
    <w:rsid w:val="00FB5A14"/>
    <w:rsid w:val="00FD1024"/>
    <w:rsid w:val="00FE73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94E7"/>
  <w15:chartTrackingRefBased/>
  <w15:docId w15:val="{2CC95CAD-CC58-427F-A490-0289319E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0677"/>
    <w:rPr>
      <w:sz w:val="16"/>
      <w:szCs w:val="16"/>
    </w:rPr>
  </w:style>
  <w:style w:type="paragraph" w:styleId="CommentText">
    <w:name w:val="annotation text"/>
    <w:basedOn w:val="Normal"/>
    <w:link w:val="CommentTextChar"/>
    <w:uiPriority w:val="99"/>
    <w:unhideWhenUsed/>
    <w:rsid w:val="005F0677"/>
    <w:pPr>
      <w:spacing w:after="160"/>
    </w:pPr>
    <w:rPr>
      <w:rFonts w:eastAsiaTheme="minorHAnsi" w:cstheme="minorBidi"/>
      <w:sz w:val="20"/>
    </w:rPr>
  </w:style>
  <w:style w:type="character" w:customStyle="1" w:styleId="CommentTextChar">
    <w:name w:val="Comment Text Char"/>
    <w:basedOn w:val="DefaultParagraphFont"/>
    <w:link w:val="CommentText"/>
    <w:uiPriority w:val="99"/>
    <w:rsid w:val="005F0677"/>
    <w:rPr>
      <w:rFonts w:ascii="Times New Roman" w:hAnsi="Times New Roman"/>
      <w:sz w:val="20"/>
      <w:szCs w:val="20"/>
    </w:rPr>
  </w:style>
  <w:style w:type="paragraph" w:styleId="BalloonText">
    <w:name w:val="Balloon Text"/>
    <w:basedOn w:val="Normal"/>
    <w:link w:val="BalloonTextChar"/>
    <w:uiPriority w:val="99"/>
    <w:semiHidden/>
    <w:unhideWhenUsed/>
    <w:rsid w:val="005F0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67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677"/>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5F06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D6612"/>
    <w:rPr>
      <w:color w:val="0563C1" w:themeColor="hyperlink"/>
      <w:u w:val="single"/>
    </w:rPr>
  </w:style>
  <w:style w:type="character" w:customStyle="1" w:styleId="UnresolvedMention1">
    <w:name w:val="Unresolved Mention1"/>
    <w:basedOn w:val="DefaultParagraphFont"/>
    <w:uiPriority w:val="99"/>
    <w:semiHidden/>
    <w:unhideWhenUsed/>
    <w:rsid w:val="007D6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5840</Words>
  <Characters>3329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Giedrutė Mikaločienė</dc:creator>
  <cp:keywords/>
  <dc:description/>
  <cp:lastModifiedBy>Giedrutė</cp:lastModifiedBy>
  <cp:revision>5</cp:revision>
  <dcterms:created xsi:type="dcterms:W3CDTF">2025-06-27T06:24:00Z</dcterms:created>
  <dcterms:modified xsi:type="dcterms:W3CDTF">2025-06-27T06:25:00Z</dcterms:modified>
</cp:coreProperties>
</file>